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188442">
      <w:pPr>
        <w:jc w:val="center"/>
        <w:rPr>
          <w:rFonts w:hint="eastAsia" w:ascii="方正大标宋简体" w:hAnsi="方正大标宋简体" w:eastAsia="方正大标宋简体" w:cs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通榆县初中数学教师讲题比赛活动方案</w:t>
      </w:r>
    </w:p>
    <w:p w14:paraId="51DF29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60" w:firstLineChars="200"/>
        <w:textAlignment w:val="auto"/>
        <w:rPr>
          <w:rFonts w:hint="eastAsia" w:ascii="黑体" w:hAnsi="黑体" w:eastAsia="黑体" w:cs="黑体"/>
          <w:sz w:val="33"/>
          <w:szCs w:val="33"/>
        </w:rPr>
      </w:pPr>
      <w:r>
        <w:rPr>
          <w:rFonts w:hint="eastAsia" w:ascii="黑体" w:hAnsi="黑体" w:eastAsia="黑体" w:cs="黑体"/>
          <w:sz w:val="33"/>
          <w:szCs w:val="33"/>
        </w:rPr>
        <w:t>一、活动主题</w:t>
      </w:r>
    </w:p>
    <w:p w14:paraId="0808F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60" w:firstLineChars="200"/>
        <w:textAlignment w:val="auto"/>
        <w:rPr>
          <w:rFonts w:hint="eastAsia" w:ascii="仿宋_GB2312" w:hAnsi="仿宋_GB2312" w:eastAsia="仿宋_GB2312" w:cs="仿宋_GB2312"/>
          <w:sz w:val="33"/>
          <w:szCs w:val="33"/>
        </w:rPr>
      </w:pPr>
      <w:r>
        <w:rPr>
          <w:rFonts w:hint="eastAsia" w:ascii="仿宋_GB2312" w:hAnsi="仿宋_GB2312" w:eastAsia="仿宋_GB2312" w:cs="仿宋_GB2312"/>
          <w:sz w:val="33"/>
          <w:szCs w:val="33"/>
          <w:lang w:val="en-US" w:eastAsia="zh-CN"/>
        </w:rPr>
        <w:t>聚焦解题教学・提升核心素养・打造高效数学课堂</w:t>
      </w:r>
    </w:p>
    <w:p w14:paraId="645D59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60" w:firstLineChars="200"/>
        <w:textAlignment w:val="auto"/>
        <w:rPr>
          <w:rFonts w:hint="eastAsia" w:ascii="黑体" w:hAnsi="黑体" w:eastAsia="黑体" w:cs="黑体"/>
          <w:sz w:val="33"/>
          <w:szCs w:val="33"/>
        </w:rPr>
      </w:pPr>
      <w:r>
        <w:rPr>
          <w:rFonts w:hint="eastAsia" w:ascii="黑体" w:hAnsi="黑体" w:eastAsia="黑体" w:cs="黑体"/>
          <w:sz w:val="33"/>
          <w:szCs w:val="33"/>
        </w:rPr>
        <w:t>二、活动目的</w:t>
      </w:r>
    </w:p>
    <w:p w14:paraId="611DD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60" w:firstLineChars="200"/>
        <w:textAlignment w:val="auto"/>
        <w:rPr>
          <w:rFonts w:hint="eastAsia" w:ascii="仿宋_GB2312" w:hAnsi="仿宋_GB2312" w:eastAsia="仿宋_GB2312" w:cs="仿宋_GB2312"/>
          <w:sz w:val="33"/>
          <w:szCs w:val="33"/>
        </w:rPr>
      </w:pPr>
      <w:r>
        <w:rPr>
          <w:rFonts w:hint="eastAsia" w:ascii="仿宋_GB2312" w:hAnsi="仿宋_GB2312" w:eastAsia="仿宋_GB2312" w:cs="仿宋_GB2312"/>
          <w:sz w:val="33"/>
          <w:szCs w:val="33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3"/>
          <w:szCs w:val="33"/>
        </w:rPr>
        <w:t>引导全县初中数学教师深耕解题、析题、讲题、变式拓展能力，强化中考高频题型与解题模型教学。</w:t>
      </w:r>
    </w:p>
    <w:p w14:paraId="08E749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60" w:firstLineChars="200"/>
        <w:textAlignment w:val="auto"/>
        <w:rPr>
          <w:rFonts w:hint="eastAsia" w:ascii="仿宋_GB2312" w:hAnsi="仿宋_GB2312" w:eastAsia="仿宋_GB2312" w:cs="仿宋_GB2312"/>
          <w:sz w:val="33"/>
          <w:szCs w:val="33"/>
        </w:rPr>
      </w:pPr>
      <w:r>
        <w:rPr>
          <w:rFonts w:hint="eastAsia" w:ascii="仿宋_GB2312" w:hAnsi="仿宋_GB2312" w:eastAsia="仿宋_GB2312" w:cs="仿宋_GB2312"/>
          <w:sz w:val="33"/>
          <w:szCs w:val="33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3"/>
          <w:szCs w:val="33"/>
        </w:rPr>
        <w:t>推动教师优化讲题策略、规范讲题流程，提升逻辑表达、课堂引导、易错点点拨等核心教学技能。</w:t>
      </w:r>
    </w:p>
    <w:p w14:paraId="04F974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60" w:firstLineChars="200"/>
        <w:textAlignment w:val="auto"/>
        <w:rPr>
          <w:rFonts w:hint="eastAsia" w:ascii="仿宋_GB2312" w:hAnsi="仿宋_GB2312" w:eastAsia="仿宋_GB2312" w:cs="仿宋_GB2312"/>
          <w:sz w:val="33"/>
          <w:szCs w:val="33"/>
        </w:rPr>
      </w:pPr>
      <w:r>
        <w:rPr>
          <w:rFonts w:hint="eastAsia" w:ascii="仿宋_GB2312" w:hAnsi="仿宋_GB2312" w:eastAsia="仿宋_GB2312" w:cs="仿宋_GB2312"/>
          <w:sz w:val="33"/>
          <w:szCs w:val="33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3"/>
          <w:szCs w:val="33"/>
        </w:rPr>
        <w:t>搭建交流展示平台，以赛促研、以赛促教，促进教师专业成长，全面提升县域初中数学教学质量。</w:t>
      </w:r>
    </w:p>
    <w:p w14:paraId="0A47F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60" w:firstLineChars="200"/>
        <w:textAlignment w:val="auto"/>
        <w:rPr>
          <w:rFonts w:hint="eastAsia" w:ascii="黑体" w:hAnsi="黑体" w:eastAsia="黑体" w:cs="黑体"/>
          <w:sz w:val="33"/>
          <w:szCs w:val="33"/>
          <w:lang w:eastAsia="zh-CN"/>
        </w:rPr>
      </w:pPr>
      <w:r>
        <w:rPr>
          <w:rFonts w:hint="eastAsia" w:ascii="黑体" w:hAnsi="黑体" w:eastAsia="黑体" w:cs="黑体"/>
          <w:sz w:val="33"/>
          <w:szCs w:val="33"/>
          <w:lang w:val="en-US" w:eastAsia="zh-CN"/>
        </w:rPr>
        <w:t>三</w:t>
      </w:r>
      <w:r>
        <w:rPr>
          <w:rFonts w:hint="eastAsia" w:ascii="黑体" w:hAnsi="黑体" w:eastAsia="黑体" w:cs="黑体"/>
          <w:sz w:val="33"/>
          <w:szCs w:val="33"/>
        </w:rPr>
        <w:t>、参赛要求</w:t>
      </w:r>
      <w:r>
        <w:rPr>
          <w:rFonts w:hint="eastAsia" w:ascii="黑体" w:hAnsi="黑体" w:eastAsia="黑体" w:cs="黑体"/>
          <w:sz w:val="33"/>
          <w:szCs w:val="33"/>
          <w:lang w:eastAsia="zh-CN"/>
        </w:rPr>
        <w:t>：</w:t>
      </w:r>
    </w:p>
    <w:p w14:paraId="4822A6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60" w:firstLineChars="200"/>
        <w:textAlignment w:val="auto"/>
        <w:rPr>
          <w:rFonts w:hint="eastAsia" w:ascii="楷体_GB2312" w:hAnsi="楷体_GB2312" w:eastAsia="楷体_GB2312" w:cs="楷体_GB2312"/>
          <w:sz w:val="33"/>
          <w:szCs w:val="33"/>
        </w:rPr>
      </w:pPr>
      <w:r>
        <w:rPr>
          <w:rFonts w:hint="eastAsia" w:ascii="楷体_GB2312" w:hAnsi="楷体_GB2312" w:eastAsia="楷体_GB2312" w:cs="楷体_GB2312"/>
          <w:sz w:val="33"/>
          <w:szCs w:val="33"/>
        </w:rPr>
        <w:t>（一）讲题内容</w:t>
      </w:r>
    </w:p>
    <w:p w14:paraId="2ACC0C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60" w:firstLineChars="200"/>
        <w:textAlignment w:val="auto"/>
        <w:rPr>
          <w:rFonts w:hint="eastAsia" w:ascii="仿宋_GB2312" w:hAnsi="仿宋_GB2312" w:eastAsia="仿宋_GB2312" w:cs="仿宋_GB2312"/>
          <w:sz w:val="33"/>
          <w:szCs w:val="33"/>
        </w:rPr>
      </w:pPr>
      <w:r>
        <w:rPr>
          <w:rFonts w:hint="eastAsia" w:ascii="仿宋_GB2312" w:hAnsi="仿宋_GB2312" w:eastAsia="仿宋_GB2312" w:cs="仿宋_GB2312"/>
          <w:sz w:val="33"/>
          <w:szCs w:val="33"/>
          <w:lang w:val="en-US" w:eastAsia="zh-CN"/>
        </w:rPr>
        <w:t>从初中数学数与代数、图形与几何、统计与概率领域中选取一道贴近中考难度适中的综合解答题，现场抽题、现场备赛、现场讲解。</w:t>
      </w:r>
    </w:p>
    <w:p w14:paraId="65D1E8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60" w:firstLineChars="200"/>
        <w:textAlignment w:val="auto"/>
        <w:rPr>
          <w:rFonts w:hint="eastAsia" w:ascii="楷体_GB2312" w:hAnsi="楷体_GB2312" w:eastAsia="楷体_GB2312" w:cs="楷体_GB2312"/>
          <w:sz w:val="33"/>
          <w:szCs w:val="33"/>
        </w:rPr>
      </w:pPr>
      <w:r>
        <w:rPr>
          <w:rFonts w:hint="eastAsia" w:ascii="楷体_GB2312" w:hAnsi="楷体_GB2312" w:eastAsia="楷体_GB2312" w:cs="楷体_GB2312"/>
          <w:sz w:val="33"/>
          <w:szCs w:val="33"/>
        </w:rPr>
        <w:t>（二）讲题核心要求</w:t>
      </w:r>
    </w:p>
    <w:p w14:paraId="1F81F9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60" w:firstLineChars="200"/>
        <w:textAlignment w:val="auto"/>
        <w:rPr>
          <w:rFonts w:hint="eastAsia" w:ascii="仿宋_GB2312" w:hAnsi="仿宋_GB2312" w:eastAsia="仿宋_GB2312" w:cs="仿宋_GB2312"/>
          <w:sz w:val="33"/>
          <w:szCs w:val="33"/>
        </w:rPr>
      </w:pPr>
      <w:r>
        <w:rPr>
          <w:rFonts w:hint="eastAsia" w:ascii="楷体_GB2312" w:hAnsi="楷体_GB2312" w:eastAsia="楷体_GB2312" w:cs="楷体_GB2312"/>
          <w:sz w:val="33"/>
          <w:szCs w:val="33"/>
          <w:lang w:val="en-US" w:eastAsia="zh-CN"/>
        </w:rPr>
        <w:t>1.</w:t>
      </w:r>
      <w:r>
        <w:rPr>
          <w:rFonts w:hint="eastAsia" w:ascii="楷体_GB2312" w:hAnsi="楷体_GB2312" w:eastAsia="楷体_GB2312" w:cs="楷体_GB2312"/>
          <w:sz w:val="33"/>
          <w:szCs w:val="33"/>
        </w:rPr>
        <w:t>解题规范：</w:t>
      </w:r>
      <w:r>
        <w:rPr>
          <w:rFonts w:hint="eastAsia" w:ascii="仿宋_GB2312" w:hAnsi="仿宋_GB2312" w:eastAsia="仿宋_GB2312" w:cs="仿宋_GB2312"/>
          <w:sz w:val="33"/>
          <w:szCs w:val="33"/>
        </w:rPr>
        <w:t>步骤完整、依据充分、逻辑严谨，准确指出易错点、陷阱、失分点。</w:t>
      </w:r>
    </w:p>
    <w:p w14:paraId="313851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60" w:firstLineChars="200"/>
        <w:textAlignment w:val="auto"/>
        <w:rPr>
          <w:rFonts w:hint="eastAsia" w:ascii="仿宋_GB2312" w:hAnsi="仿宋_GB2312" w:eastAsia="仿宋_GB2312" w:cs="仿宋_GB2312"/>
          <w:sz w:val="33"/>
          <w:szCs w:val="33"/>
        </w:rPr>
      </w:pPr>
      <w:r>
        <w:rPr>
          <w:rFonts w:hint="eastAsia" w:ascii="楷体_GB2312" w:hAnsi="楷体_GB2312" w:eastAsia="楷体_GB2312" w:cs="楷体_GB2312"/>
          <w:sz w:val="33"/>
          <w:szCs w:val="33"/>
          <w:lang w:val="en-US" w:eastAsia="zh-CN"/>
        </w:rPr>
        <w:t>2.</w:t>
      </w:r>
      <w:r>
        <w:rPr>
          <w:rFonts w:hint="eastAsia" w:ascii="楷体_GB2312" w:hAnsi="楷体_GB2312" w:eastAsia="楷体_GB2312" w:cs="楷体_GB2312"/>
          <w:sz w:val="33"/>
          <w:szCs w:val="33"/>
        </w:rPr>
        <w:t>多解拓展：</w:t>
      </w:r>
      <w:r>
        <w:rPr>
          <w:rFonts w:hint="eastAsia" w:ascii="仿宋_GB2312" w:hAnsi="仿宋_GB2312" w:eastAsia="仿宋_GB2312" w:cs="仿宋_GB2312"/>
          <w:sz w:val="33"/>
          <w:szCs w:val="33"/>
          <w:lang w:val="en-US" w:eastAsia="zh-CN"/>
        </w:rPr>
        <w:t>某些步骤</w:t>
      </w:r>
      <w:r>
        <w:rPr>
          <w:rFonts w:hint="eastAsia" w:ascii="仿宋_GB2312" w:hAnsi="仿宋_GB2312" w:eastAsia="仿宋_GB2312" w:cs="仿宋_GB2312"/>
          <w:sz w:val="33"/>
          <w:szCs w:val="33"/>
        </w:rPr>
        <w:t>至少呈现2 种解法（常规解法 + 简便 / 技巧解法），体现思路多样性。</w:t>
      </w:r>
    </w:p>
    <w:p w14:paraId="4FAFB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60" w:firstLineChars="200"/>
        <w:textAlignment w:val="auto"/>
        <w:rPr>
          <w:rFonts w:hint="eastAsia" w:ascii="仿宋_GB2312" w:hAnsi="仿宋_GB2312" w:eastAsia="仿宋_GB2312" w:cs="仿宋_GB2312"/>
          <w:sz w:val="33"/>
          <w:szCs w:val="33"/>
        </w:rPr>
      </w:pPr>
      <w:r>
        <w:rPr>
          <w:rFonts w:hint="eastAsia" w:ascii="楷体_GB2312" w:hAnsi="楷体_GB2312" w:eastAsia="楷体_GB2312" w:cs="楷体_GB2312"/>
          <w:sz w:val="33"/>
          <w:szCs w:val="33"/>
          <w:lang w:val="en-US" w:eastAsia="zh-CN"/>
        </w:rPr>
        <w:t>3.</w:t>
      </w:r>
      <w:r>
        <w:rPr>
          <w:rFonts w:hint="eastAsia" w:ascii="楷体_GB2312" w:hAnsi="楷体_GB2312" w:eastAsia="楷体_GB2312" w:cs="楷体_GB2312"/>
          <w:sz w:val="33"/>
          <w:szCs w:val="33"/>
        </w:rPr>
        <w:t>教学引导：</w:t>
      </w:r>
      <w:r>
        <w:rPr>
          <w:rFonts w:hint="eastAsia" w:ascii="仿宋_GB2312" w:hAnsi="仿宋_GB2312" w:eastAsia="仿宋_GB2312" w:cs="仿宋_GB2312"/>
          <w:sz w:val="33"/>
          <w:szCs w:val="33"/>
        </w:rPr>
        <w:t>以学生为中心，体现启发式、互动式讲题，符合初中生认知规律。</w:t>
      </w:r>
    </w:p>
    <w:p w14:paraId="196AA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60" w:firstLineChars="200"/>
        <w:textAlignment w:val="auto"/>
        <w:rPr>
          <w:rFonts w:hint="eastAsia" w:ascii="仿宋_GB2312" w:hAnsi="仿宋_GB2312" w:eastAsia="仿宋_GB2312" w:cs="仿宋_GB2312"/>
          <w:sz w:val="33"/>
          <w:szCs w:val="33"/>
        </w:rPr>
      </w:pPr>
      <w:r>
        <w:rPr>
          <w:rFonts w:hint="eastAsia" w:ascii="楷体_GB2312" w:hAnsi="楷体_GB2312" w:eastAsia="楷体_GB2312" w:cs="楷体_GB2312"/>
          <w:sz w:val="33"/>
          <w:szCs w:val="33"/>
          <w:lang w:val="en-US" w:eastAsia="zh-CN"/>
        </w:rPr>
        <w:t>4.</w:t>
      </w:r>
      <w:r>
        <w:rPr>
          <w:rFonts w:hint="eastAsia" w:ascii="楷体_GB2312" w:hAnsi="楷体_GB2312" w:eastAsia="楷体_GB2312" w:cs="楷体_GB2312"/>
          <w:sz w:val="33"/>
          <w:szCs w:val="33"/>
        </w:rPr>
        <w:t>模型提炼：</w:t>
      </w:r>
      <w:r>
        <w:rPr>
          <w:rFonts w:hint="eastAsia" w:ascii="仿宋_GB2312" w:hAnsi="仿宋_GB2312" w:eastAsia="仿宋_GB2312" w:cs="仿宋_GB2312"/>
          <w:sz w:val="33"/>
          <w:szCs w:val="33"/>
        </w:rPr>
        <w:t>能总结解题模型、通法通则，并进行变式拓展。</w:t>
      </w:r>
    </w:p>
    <w:p w14:paraId="07D0EA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60" w:firstLineChars="200"/>
        <w:textAlignment w:val="auto"/>
        <w:rPr>
          <w:rFonts w:hint="eastAsia" w:ascii="仿宋_GB2312" w:hAnsi="仿宋_GB2312" w:eastAsia="仿宋_GB2312" w:cs="仿宋_GB2312"/>
          <w:sz w:val="33"/>
          <w:szCs w:val="33"/>
        </w:rPr>
      </w:pPr>
      <w:r>
        <w:rPr>
          <w:rFonts w:hint="eastAsia" w:ascii="楷体_GB2312" w:hAnsi="楷体_GB2312" w:eastAsia="楷体_GB2312" w:cs="楷体_GB2312"/>
          <w:sz w:val="33"/>
          <w:szCs w:val="33"/>
          <w:lang w:val="en-US" w:eastAsia="zh-CN"/>
        </w:rPr>
        <w:t>5.</w:t>
      </w:r>
      <w:r>
        <w:rPr>
          <w:rFonts w:hint="eastAsia" w:ascii="楷体_GB2312" w:hAnsi="楷体_GB2312" w:eastAsia="楷体_GB2312" w:cs="楷体_GB2312"/>
          <w:sz w:val="33"/>
          <w:szCs w:val="33"/>
        </w:rPr>
        <w:t>时间要求：</w:t>
      </w:r>
      <w:r>
        <w:rPr>
          <w:rFonts w:hint="eastAsia" w:ascii="仿宋_GB2312" w:hAnsi="仿宋_GB2312" w:eastAsia="仿宋_GB2312" w:cs="仿宋_GB2312"/>
          <w:sz w:val="33"/>
          <w:szCs w:val="33"/>
          <w:lang w:val="en-US" w:eastAsia="zh-CN"/>
        </w:rPr>
        <w:t>抽到题目后</w:t>
      </w:r>
      <w:r>
        <w:rPr>
          <w:rFonts w:hint="eastAsia" w:ascii="仿宋_GB2312" w:hAnsi="仿宋_GB2312" w:eastAsia="仿宋_GB2312" w:cs="仿宋_GB2312"/>
          <w:sz w:val="33"/>
          <w:szCs w:val="33"/>
        </w:rPr>
        <w:t>封闭备考 30 分钟</w:t>
      </w:r>
      <w:r>
        <w:rPr>
          <w:rFonts w:hint="eastAsia" w:ascii="仿宋_GB2312" w:hAnsi="仿宋_GB2312" w:eastAsia="仿宋_GB2312" w:cs="仿宋_GB2312"/>
          <w:sz w:val="33"/>
          <w:szCs w:val="33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3"/>
          <w:szCs w:val="33"/>
        </w:rPr>
        <w:t>讲题时间8—10 分钟，超时将按规定扣分。</w:t>
      </w:r>
    </w:p>
    <w:p w14:paraId="1DDD1A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60" w:firstLineChars="200"/>
        <w:textAlignment w:val="auto"/>
        <w:rPr>
          <w:rFonts w:hint="eastAsia" w:ascii="楷体_GB2312" w:hAnsi="楷体_GB2312" w:eastAsia="楷体_GB2312" w:cs="楷体_GB2312"/>
          <w:sz w:val="33"/>
          <w:szCs w:val="33"/>
        </w:rPr>
      </w:pPr>
      <w:r>
        <w:rPr>
          <w:rFonts w:hint="eastAsia" w:ascii="楷体_GB2312" w:hAnsi="楷体_GB2312" w:eastAsia="楷体_GB2312" w:cs="楷体_GB2312"/>
          <w:sz w:val="33"/>
          <w:szCs w:val="33"/>
        </w:rPr>
        <w:t>（三）讲题必备环节</w:t>
      </w:r>
    </w:p>
    <w:p w14:paraId="0B1C65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60" w:firstLineChars="200"/>
        <w:textAlignment w:val="auto"/>
        <w:rPr>
          <w:rFonts w:hint="eastAsia" w:ascii="仿宋_GB2312" w:hAnsi="仿宋_GB2312" w:eastAsia="仿宋_GB2312" w:cs="仿宋_GB2312"/>
          <w:sz w:val="33"/>
          <w:szCs w:val="33"/>
          <w:lang w:val="en-US" w:eastAsia="zh-CN"/>
        </w:rPr>
      </w:pPr>
      <w:r>
        <w:rPr>
          <w:rFonts w:hint="eastAsia" w:ascii="仿宋_GB2312" w:hAnsi="仿宋_GB2312" w:eastAsia="仿宋_GB2312" w:cs="仿宋_GB2312"/>
          <w:sz w:val="33"/>
          <w:szCs w:val="33"/>
        </w:rPr>
        <w:t>题目分析 → 思路引导 → 规范解答 → 多解呈现 → 易错点拨 → 模型提炼 → 变式拓展</w:t>
      </w:r>
      <w:r>
        <w:rPr>
          <w:rFonts w:hint="eastAsia" w:ascii="仿宋_GB2312" w:hAnsi="仿宋_GB2312" w:eastAsia="仿宋_GB2312" w:cs="仿宋_GB2312"/>
          <w:sz w:val="33"/>
          <w:szCs w:val="33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3"/>
          <w:szCs w:val="33"/>
          <w:lang w:val="en-US" w:eastAsia="zh-CN"/>
        </w:rPr>
        <w:t>可调整顺序</w:t>
      </w:r>
      <w:r>
        <w:rPr>
          <w:rFonts w:hint="eastAsia" w:ascii="仿宋_GB2312" w:hAnsi="仿宋_GB2312" w:eastAsia="仿宋_GB2312" w:cs="仿宋_GB2312"/>
          <w:sz w:val="33"/>
          <w:szCs w:val="33"/>
          <w:lang w:eastAsia="zh-CN"/>
        </w:rPr>
        <w:t>）。</w:t>
      </w:r>
    </w:p>
    <w:p w14:paraId="436A24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60" w:firstLineChars="200"/>
        <w:textAlignment w:val="auto"/>
        <w:rPr>
          <w:rFonts w:hint="eastAsia" w:ascii="黑体" w:hAnsi="黑体" w:eastAsia="黑体" w:cs="黑体"/>
          <w:sz w:val="33"/>
          <w:szCs w:val="33"/>
        </w:rPr>
      </w:pPr>
      <w:r>
        <w:rPr>
          <w:rFonts w:hint="eastAsia" w:ascii="黑体" w:hAnsi="黑体" w:eastAsia="黑体" w:cs="黑体"/>
          <w:sz w:val="33"/>
          <w:szCs w:val="33"/>
          <w:lang w:val="en-US" w:eastAsia="zh-CN"/>
        </w:rPr>
        <w:t>四、</w:t>
      </w:r>
      <w:r>
        <w:rPr>
          <w:rFonts w:hint="eastAsia" w:ascii="黑体" w:hAnsi="黑体" w:eastAsia="黑体" w:cs="黑体"/>
          <w:sz w:val="33"/>
          <w:szCs w:val="33"/>
        </w:rPr>
        <w:t>评分标准（百分制）</w:t>
      </w:r>
    </w:p>
    <w:p w14:paraId="55602B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60" w:firstLineChars="200"/>
        <w:textAlignment w:val="auto"/>
        <w:rPr>
          <w:rFonts w:hint="default" w:ascii="仿宋_GB2312" w:hAnsi="仿宋_GB2312" w:eastAsia="仿宋_GB2312" w:cs="仿宋_GB2312"/>
          <w:sz w:val="33"/>
          <w:szCs w:val="33"/>
          <w:lang w:val="en-US" w:eastAsia="zh-CN"/>
        </w:rPr>
      </w:pPr>
      <w:r>
        <w:rPr>
          <w:rFonts w:hint="eastAsia" w:ascii="仿宋_GB2312" w:hAnsi="仿宋_GB2312" w:eastAsia="仿宋_GB2312" w:cs="仿宋_GB2312"/>
          <w:sz w:val="33"/>
          <w:szCs w:val="33"/>
          <w:lang w:val="en-US" w:eastAsia="zh-CN"/>
        </w:rPr>
        <w:t>详见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3"/>
          <w:szCs w:val="33"/>
          <w:lang w:val="en-US" w:eastAsia="zh-CN"/>
        </w:rPr>
        <w:t>：通榆县初中数学教师讲题比赛评分标准</w:t>
      </w:r>
    </w:p>
    <w:p w14:paraId="78B68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600" w:firstLineChars="2000"/>
        <w:textAlignment w:val="auto"/>
        <w:rPr>
          <w:rFonts w:hint="eastAsia" w:ascii="仿宋_GB2312" w:hAnsi="仿宋_GB2312" w:eastAsia="仿宋_GB2312" w:cs="仿宋_GB2312"/>
          <w:sz w:val="33"/>
          <w:szCs w:val="33"/>
          <w:lang w:val="en-US" w:eastAsia="zh-CN"/>
        </w:rPr>
      </w:pPr>
    </w:p>
    <w:p w14:paraId="5F71F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600" w:firstLineChars="2000"/>
        <w:textAlignment w:val="auto"/>
        <w:rPr>
          <w:rFonts w:hint="eastAsia" w:ascii="仿宋_GB2312" w:hAnsi="仿宋_GB2312" w:eastAsia="仿宋_GB2312" w:cs="仿宋_GB2312"/>
          <w:sz w:val="33"/>
          <w:szCs w:val="33"/>
          <w:lang w:val="en-US" w:eastAsia="zh-CN"/>
        </w:rPr>
      </w:pPr>
    </w:p>
    <w:p w14:paraId="76ECF8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600" w:firstLineChars="2000"/>
        <w:textAlignment w:val="auto"/>
        <w:rPr>
          <w:rFonts w:hint="eastAsia" w:ascii="仿宋_GB2312" w:hAnsi="仿宋_GB2312" w:eastAsia="仿宋_GB2312" w:cs="仿宋_GB2312"/>
          <w:sz w:val="33"/>
          <w:szCs w:val="33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F65163"/>
    <w:rsid w:val="018038AF"/>
    <w:rsid w:val="044323E2"/>
    <w:rsid w:val="05ED6E5E"/>
    <w:rsid w:val="05F65163"/>
    <w:rsid w:val="0BB04A3B"/>
    <w:rsid w:val="0E07131E"/>
    <w:rsid w:val="2762237B"/>
    <w:rsid w:val="306C7DC6"/>
    <w:rsid w:val="37E172BA"/>
    <w:rsid w:val="56831BC6"/>
    <w:rsid w:val="67B37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525</Words>
  <Characters>535</Characters>
  <Lines>0</Lines>
  <Paragraphs>0</Paragraphs>
  <TotalTime>173</TotalTime>
  <ScaleCrop>false</ScaleCrop>
  <LinksUpToDate>false</LinksUpToDate>
  <CharactersWithSpaces>555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2026-04-13T02:36:00Z</dcterms:created>
  <dc:creator>张福才</dc:creator>
  <cp:lastModifiedBy>境宽</cp:lastModifiedBy>
  <dcterms:modified xsi:type="dcterms:W3CDTF">2026-04-14T00:22:33Z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0B2377F433A54A6CA2745465EFD57F80_13</vt:lpwstr>
  </property>
  <property fmtid="{D5CDD505-2E9C-101B-9397-08002B2CF9AE}" pid="4" name="KSOTemplateDocerSaveRecord">
    <vt:lpwstr>eyJoZGlkIjoiOThmMDFjOGM5ZTllYmZkYTM1ZmE1Nzc2YjhkM2M1OTUiLCJ1c2VySWQiOiI1Mzk0NzQwMDcifQ==</vt:lpwstr>
  </property>
</Properties>
</file>