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69189">
      <w:pPr>
        <w:jc w:val="center"/>
        <w:rPr>
          <w:rFonts w:hint="eastAsia" w:ascii="方正大标宋简体" w:hAnsi="方正大标宋简体" w:eastAsia="方正大标宋简体" w:cs="方正大标宋简体"/>
          <w:b/>
          <w:bCs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4"/>
        </w:rPr>
        <w:t>通榆县初中</w:t>
      </w: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4"/>
          <w:lang w:val="en-US" w:eastAsia="zh-CN"/>
        </w:rPr>
        <w:t>数学</w:t>
      </w: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4"/>
        </w:rPr>
        <w:t>教师</w:t>
      </w: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4"/>
          <w:lang w:val="en-US" w:eastAsia="zh-CN"/>
        </w:rPr>
        <w:t>讲题</w:t>
      </w: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4"/>
        </w:rPr>
        <w:t>比赛</w:t>
      </w: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4"/>
          <w:lang w:val="en-US" w:eastAsia="zh-CN"/>
        </w:rPr>
        <w:t>评分标准</w:t>
      </w:r>
    </w:p>
    <w:p w14:paraId="0DC0C838">
      <w:pP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bookmarkStart w:id="0" w:name="_GoBack"/>
      <w:bookmarkEnd w:id="0"/>
    </w:p>
    <w:tbl>
      <w:tblPr>
        <w:tblStyle w:val="3"/>
        <w:tblpPr w:leftFromText="180" w:rightFromText="180" w:vertAnchor="text" w:horzAnchor="page" w:tblpX="1510" w:tblpY="11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5640"/>
        <w:gridCol w:w="720"/>
        <w:gridCol w:w="1290"/>
      </w:tblGrid>
      <w:tr w14:paraId="727D6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530" w:type="dxa"/>
            <w:vAlign w:val="center"/>
          </w:tcPr>
          <w:p w14:paraId="5C8F0FE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评分维度</w:t>
            </w:r>
          </w:p>
        </w:tc>
        <w:tc>
          <w:tcPr>
            <w:tcW w:w="5640" w:type="dxa"/>
            <w:vAlign w:val="center"/>
          </w:tcPr>
          <w:p w14:paraId="39ACE34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评分细则</w:t>
            </w:r>
          </w:p>
        </w:tc>
        <w:tc>
          <w:tcPr>
            <w:tcW w:w="720" w:type="dxa"/>
            <w:vAlign w:val="center"/>
          </w:tcPr>
          <w:p w14:paraId="3C999A4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1290" w:type="dxa"/>
            <w:vAlign w:val="center"/>
          </w:tcPr>
          <w:p w14:paraId="41D0DD7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评委打分</w:t>
            </w:r>
          </w:p>
        </w:tc>
      </w:tr>
      <w:tr w14:paraId="68434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1530" w:type="dxa"/>
            <w:vAlign w:val="center"/>
          </w:tcPr>
          <w:p w14:paraId="614170F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解题逻辑</w:t>
            </w:r>
          </w:p>
          <w:p w14:paraId="2091FB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严谨度</w:t>
            </w:r>
          </w:p>
        </w:tc>
        <w:tc>
          <w:tcPr>
            <w:tcW w:w="5640" w:type="dxa"/>
            <w:vAlign w:val="center"/>
          </w:tcPr>
          <w:p w14:paraId="1494DF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1. 解题步骤完整，每一步推导有明确的定理/公式依据（15分，缺1个依据扣3分，逻辑错误扣5分）；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2. 准确识别题目陷阱与易错点（10分，每遗漏1个陷阱扣2分，未分析易错点扣5分）；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3. 语言表述精准，无数学术语错误（5分，术语错误每处扣2分）。</w:t>
            </w:r>
          </w:p>
        </w:tc>
        <w:tc>
          <w:tcPr>
            <w:tcW w:w="720" w:type="dxa"/>
            <w:vAlign w:val="center"/>
          </w:tcPr>
          <w:p w14:paraId="125EE2C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30分</w:t>
            </w:r>
          </w:p>
        </w:tc>
        <w:tc>
          <w:tcPr>
            <w:tcW w:w="1290" w:type="dxa"/>
          </w:tcPr>
          <w:p w14:paraId="5C0DA1D3">
            <w:pP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FAAF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1530" w:type="dxa"/>
            <w:vAlign w:val="center"/>
          </w:tcPr>
          <w:p w14:paraId="58ECE3F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教学方法</w:t>
            </w:r>
          </w:p>
          <w:p w14:paraId="7F78C16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适配性</w:t>
            </w:r>
          </w:p>
        </w:tc>
        <w:tc>
          <w:tcPr>
            <w:tcW w:w="5640" w:type="dxa"/>
            <w:vAlign w:val="center"/>
          </w:tcPr>
          <w:p w14:paraId="38E299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1. 站在学生视角设计讲解路径，符合初中学生认知规律（10分，未结合学生认知特点扣5分）；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2. 融入启发式提问，体现引导学生思考的过程（10分，提问设计无效或缺乏互动扣3-5分）；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3. 板书/PPT设计合理，重点突出（5分，逻辑混乱或重点不清晰扣2-3分）。</w:t>
            </w:r>
          </w:p>
        </w:tc>
        <w:tc>
          <w:tcPr>
            <w:tcW w:w="720" w:type="dxa"/>
            <w:vAlign w:val="center"/>
          </w:tcPr>
          <w:p w14:paraId="00F6EE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25分</w:t>
            </w:r>
          </w:p>
        </w:tc>
        <w:tc>
          <w:tcPr>
            <w:tcW w:w="1290" w:type="dxa"/>
          </w:tcPr>
          <w:p w14:paraId="63AADB0F">
            <w:pP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25F8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" w:type="dxa"/>
            <w:vAlign w:val="center"/>
          </w:tcPr>
          <w:p w14:paraId="43CD8DE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解法创新性</w:t>
            </w:r>
          </w:p>
          <w:p w14:paraId="357A1CD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与拓展性</w:t>
            </w:r>
          </w:p>
        </w:tc>
        <w:tc>
          <w:tcPr>
            <w:tcW w:w="5640" w:type="dxa"/>
            <w:vAlign w:val="center"/>
          </w:tcPr>
          <w:p w14:paraId="1AFC093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1. 提供至少2种不同解法（常规法+技巧法，10分，缺1种扣5分，解法无实质差异扣3分）；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2. 提炼解题模型，延伸至同类题型（5分，未提炼模型扣3分）；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3. 跨学科融合或生活应用拓展（5分，无拓展扣5分，拓展不恰当扣2-3分）。</w:t>
            </w:r>
          </w:p>
        </w:tc>
        <w:tc>
          <w:tcPr>
            <w:tcW w:w="720" w:type="dxa"/>
            <w:vAlign w:val="center"/>
          </w:tcPr>
          <w:p w14:paraId="3B29A6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20分</w:t>
            </w:r>
          </w:p>
        </w:tc>
        <w:tc>
          <w:tcPr>
            <w:tcW w:w="1290" w:type="dxa"/>
          </w:tcPr>
          <w:p w14:paraId="0108AFB9">
            <w:pP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70C1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" w:type="dxa"/>
            <w:vAlign w:val="center"/>
          </w:tcPr>
          <w:p w14:paraId="3C857D8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分层教学</w:t>
            </w:r>
          </w:p>
          <w:p w14:paraId="344BD7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有效性</w:t>
            </w:r>
          </w:p>
        </w:tc>
        <w:tc>
          <w:tcPr>
            <w:tcW w:w="5640" w:type="dxa"/>
            <w:vAlign w:val="center"/>
          </w:tcPr>
          <w:p w14:paraId="27CF7A3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1. 针对不同学情（基础薄弱生/中等生/尖子生）设计差异化讲解策略（6分，未体现分层扣6分，分层策略不具体扣3分）；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2. 提供分层练习建议（4分，未提供扣4分，建议不合理扣2分）。</w:t>
            </w:r>
          </w:p>
        </w:tc>
        <w:tc>
          <w:tcPr>
            <w:tcW w:w="720" w:type="dxa"/>
            <w:vAlign w:val="center"/>
          </w:tcPr>
          <w:p w14:paraId="71FB61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10分</w:t>
            </w:r>
          </w:p>
        </w:tc>
        <w:tc>
          <w:tcPr>
            <w:tcW w:w="1290" w:type="dxa"/>
          </w:tcPr>
          <w:p w14:paraId="3DCEFD4F">
            <w:pP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615A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1530" w:type="dxa"/>
            <w:vAlign w:val="center"/>
          </w:tcPr>
          <w:p w14:paraId="4BCDB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时间把控</w:t>
            </w:r>
          </w:p>
          <w:p w14:paraId="31CDE30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精准度</w:t>
            </w:r>
          </w:p>
        </w:tc>
        <w:tc>
          <w:tcPr>
            <w:tcW w:w="5640" w:type="dxa"/>
            <w:vAlign w:val="center"/>
          </w:tcPr>
          <w:p w14:paraId="0793AF5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1. 10分钟内完成全部讲解内容（8分，超时10秒内扣1分，超时30秒内扣3分，超时1分钟以上扣8分）；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2. 各部分时间分配合理，重点内容讲解充分（2分，重点内容时间不足扣1-2分）。</w:t>
            </w:r>
          </w:p>
        </w:tc>
        <w:tc>
          <w:tcPr>
            <w:tcW w:w="720" w:type="dxa"/>
            <w:vAlign w:val="center"/>
          </w:tcPr>
          <w:p w14:paraId="5F0CF2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10分</w:t>
            </w:r>
          </w:p>
        </w:tc>
        <w:tc>
          <w:tcPr>
            <w:tcW w:w="1290" w:type="dxa"/>
          </w:tcPr>
          <w:p w14:paraId="1F6AE1C5">
            <w:pP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88B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1530" w:type="dxa"/>
            <w:vAlign w:val="center"/>
          </w:tcPr>
          <w:p w14:paraId="213B1A5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表达与互动</w:t>
            </w:r>
          </w:p>
          <w:p w14:paraId="645B17E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能力</w:t>
            </w:r>
          </w:p>
        </w:tc>
        <w:tc>
          <w:tcPr>
            <w:tcW w:w="5640" w:type="dxa"/>
            <w:vAlign w:val="center"/>
          </w:tcPr>
          <w:p w14:paraId="378EF5C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1. 语言流畅、条理清晰，语速适中（3分，卡顿或语速过快/过慢扣1-2分）；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2. 与评委/观众有眼神交流，展现教师专业素养（2分，无互动或仪态不自然扣1分）。</w:t>
            </w:r>
          </w:p>
        </w:tc>
        <w:tc>
          <w:tcPr>
            <w:tcW w:w="720" w:type="dxa"/>
            <w:vAlign w:val="center"/>
          </w:tcPr>
          <w:p w14:paraId="52BC0CA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5分</w:t>
            </w:r>
          </w:p>
        </w:tc>
        <w:tc>
          <w:tcPr>
            <w:tcW w:w="1290" w:type="dxa"/>
          </w:tcPr>
          <w:p w14:paraId="648BB8A1">
            <w:pP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FC19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530" w:type="dxa"/>
            <w:vAlign w:val="center"/>
          </w:tcPr>
          <w:p w14:paraId="1F5F060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7650" w:type="dxa"/>
            <w:gridSpan w:val="3"/>
            <w:vAlign w:val="center"/>
          </w:tcPr>
          <w:p w14:paraId="12F617EC">
            <w:pP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22E7C7FA">
      <w:pPr>
        <w:rPr>
          <w:rFonts w:hint="default" w:ascii="Times New Roman" w:hAnsi="Times New Roman" w:cs="Times New Roman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43E9E"/>
    <w:rsid w:val="06C14C23"/>
    <w:rsid w:val="06DB65D6"/>
    <w:rsid w:val="09F935EE"/>
    <w:rsid w:val="0B1D155E"/>
    <w:rsid w:val="0C56771E"/>
    <w:rsid w:val="0F3A4B7B"/>
    <w:rsid w:val="14ED3D4F"/>
    <w:rsid w:val="15475B55"/>
    <w:rsid w:val="18F51424"/>
    <w:rsid w:val="1B284AEF"/>
    <w:rsid w:val="22CA6EEB"/>
    <w:rsid w:val="27A02D15"/>
    <w:rsid w:val="28B073B3"/>
    <w:rsid w:val="28C606E7"/>
    <w:rsid w:val="29314DC9"/>
    <w:rsid w:val="314743E9"/>
    <w:rsid w:val="33423060"/>
    <w:rsid w:val="34936269"/>
    <w:rsid w:val="365C268B"/>
    <w:rsid w:val="3A3E4582"/>
    <w:rsid w:val="40FB7670"/>
    <w:rsid w:val="43D917BF"/>
    <w:rsid w:val="453E18DA"/>
    <w:rsid w:val="45C51E1A"/>
    <w:rsid w:val="478A6475"/>
    <w:rsid w:val="47E879F1"/>
    <w:rsid w:val="4E18226F"/>
    <w:rsid w:val="4FAA2BC4"/>
    <w:rsid w:val="50EE4AFC"/>
    <w:rsid w:val="54A9031C"/>
    <w:rsid w:val="58E501ED"/>
    <w:rsid w:val="66014531"/>
    <w:rsid w:val="667C4500"/>
    <w:rsid w:val="6C054650"/>
    <w:rsid w:val="6D301BA0"/>
    <w:rsid w:val="6E4C0C5C"/>
    <w:rsid w:val="73483E75"/>
    <w:rsid w:val="76071FEA"/>
    <w:rsid w:val="7B7E07B7"/>
    <w:rsid w:val="7D7D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686</Words>
  <Characters>727</Characters>
  <Lines>0</Lines>
  <Paragraphs>0</Paragraphs>
  <TotalTime>11</TotalTime>
  <ScaleCrop>false</ScaleCrop>
  <LinksUpToDate>false</LinksUpToDate>
  <CharactersWithSpaces>758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2026-04-07T06:02:00Z</dcterms:created>
  <dc:creator>123</dc:creator>
  <cp:lastModifiedBy>王丽</cp:lastModifiedBy>
  <dcterms:modified xsi:type="dcterms:W3CDTF">2026-04-14T02:34:29Z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eyJoZGlkIjoiMTMzYWFiM2VhYjNjMGQwYTVhNjlhODY5ZDMwMDZiMTMiLCJ1c2VySWQiOiI0MzM4ODIzMTcifQ==</vt:lpwstr>
  </property>
  <property fmtid="{D5CDD505-2E9C-101B-9397-08002B2CF9AE}" pid="4" name="ICV">
    <vt:lpwstr>56392CD981854A01B6D501AFFE2012B0_13</vt:lpwstr>
  </property>
</Properties>
</file>