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51489B">
      <w:pPr>
        <w:keepNext w:val="0"/>
        <w:keepLines w:val="0"/>
        <w:pageBreakBefore w:val="0"/>
        <w:widowControl w:val="0"/>
        <w:kinsoku/>
        <w:wordWrap/>
        <w:overflowPunct/>
        <w:topLinePunct w:val="0"/>
        <w:autoSpaceDE/>
        <w:autoSpaceDN/>
        <w:bidi w:val="0"/>
        <w:adjustRightInd/>
        <w:snapToGrid/>
        <w:spacing w:line="578" w:lineRule="exact"/>
        <w:jc w:val="left"/>
        <w:textAlignment w:val="auto"/>
        <w:rPr>
          <w:rFonts w:hint="default"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val="en-US" w:eastAsia="zh-CN"/>
        </w:rPr>
        <w:t>附件1</w:t>
      </w:r>
    </w:p>
    <w:p w14:paraId="0F3279C7">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p>
    <w:p w14:paraId="553F1B20">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通榆县第五周期</w:t>
      </w:r>
      <w:r>
        <w:rPr>
          <w:rFonts w:hint="eastAsia" w:ascii="方正小标宋_GBK" w:hAnsi="方正小标宋_GBK" w:eastAsia="方正小标宋_GBK" w:cs="方正小标宋_GBK"/>
          <w:sz w:val="44"/>
          <w:szCs w:val="44"/>
        </w:rPr>
        <w:t>“教研员帮带骨干教师、</w:t>
      </w:r>
    </w:p>
    <w:p w14:paraId="3A77DB0C">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eastAsia="zh-CN"/>
        </w:rPr>
        <w:t>培养</w:t>
      </w:r>
      <w:r>
        <w:rPr>
          <w:rFonts w:hint="eastAsia" w:ascii="方正小标宋_GBK" w:hAnsi="方正小标宋_GBK" w:eastAsia="方正小标宋_GBK" w:cs="方正小标宋_GBK"/>
          <w:sz w:val="44"/>
          <w:szCs w:val="44"/>
        </w:rPr>
        <w:t>名师工程”实施方案（2026—2029年）</w:t>
      </w:r>
    </w:p>
    <w:p w14:paraId="326BDE29">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rPr>
      </w:pPr>
    </w:p>
    <w:p w14:paraId="6DAA7D4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0" w:name="heading_0"/>
      <w:r>
        <w:rPr>
          <w:rFonts w:hint="eastAsia" w:ascii="黑体" w:hAnsi="黑体" w:eastAsia="黑体" w:cs="黑体"/>
          <w:sz w:val="32"/>
          <w:szCs w:val="32"/>
        </w:rPr>
        <w:t>一、实施总则</w:t>
      </w:r>
      <w:bookmarkEnd w:id="0"/>
    </w:p>
    <w:p w14:paraId="7971458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为深入践行习近平总书记关于教育的重要论述，弘扬教育家精神，落实立德树人根本任务，立足党的二十大关于教育、科技、人才三位一体协同发展的战略部署，紧扣新时代教育高质量发展与教师专业进阶核心要求，全面落实通榆县2026年教育工作部署，深挖通榆县教师进修学校研修</w:t>
      </w:r>
      <w:r>
        <w:rPr>
          <w:rFonts w:hint="eastAsia" w:ascii="仿宋" w:hAnsi="仿宋" w:eastAsia="仿宋" w:cs="仿宋"/>
          <w:sz w:val="32"/>
          <w:szCs w:val="32"/>
          <w:lang w:eastAsia="zh-CN"/>
        </w:rPr>
        <w:t>培养</w:t>
      </w:r>
      <w:r>
        <w:rPr>
          <w:rFonts w:hint="eastAsia" w:ascii="仿宋" w:hAnsi="仿宋" w:eastAsia="仿宋" w:cs="仿宋"/>
          <w:sz w:val="32"/>
          <w:szCs w:val="32"/>
        </w:rPr>
        <w:t>资源，充分发挥教研员专业引领、示范辐射、结对赋能作用，健全“传、帮、带、研、训”一体化培养机制，通榆县教育局决定启动实施2026—2029年第五周期“教研员帮带骨干教师、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w:t>
      </w:r>
    </w:p>
    <w:p w14:paraId="7F4EA25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坚持按需赋能、研训一体、学用融合原则，突出针对性、实践性、实效性与创新性，着力构建教研员与培养对象平等共生、协同研修、互助共进的专业发展共同体；紧扣新时代教师专业标准，聚焦县域教师发展短板与课堂教学痛点，定向</w:t>
      </w:r>
      <w:r>
        <w:rPr>
          <w:rFonts w:hint="eastAsia" w:ascii="仿宋" w:hAnsi="仿宋" w:eastAsia="仿宋" w:cs="仿宋"/>
          <w:sz w:val="32"/>
          <w:szCs w:val="32"/>
          <w:lang w:eastAsia="zh-CN"/>
        </w:rPr>
        <w:t>培养</w:t>
      </w:r>
      <w:r>
        <w:rPr>
          <w:rFonts w:hint="eastAsia" w:ascii="仿宋" w:hAnsi="仿宋" w:eastAsia="仿宋" w:cs="仿宋"/>
          <w:sz w:val="32"/>
          <w:szCs w:val="32"/>
        </w:rPr>
        <w:t>师德高尚、理念先进、素养精深、能力过硬，勇于改革创新、治学作风严谨、教研能力突出、业务素养精湛的研究型、专业化教师梯队；孵化一批县域标杆式教育教学名师，充分发挥头雁领航、集群辐射效应，全面夯实全县中小学、幼儿园教师队伍综合素养，赋能区域教育优质均衡发展。</w:t>
      </w:r>
    </w:p>
    <w:p w14:paraId="109977D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1" w:name="heading_1"/>
      <w:r>
        <w:rPr>
          <w:rFonts w:hint="eastAsia" w:ascii="黑体" w:hAnsi="黑体" w:eastAsia="黑体" w:cs="黑体"/>
          <w:sz w:val="32"/>
          <w:szCs w:val="32"/>
        </w:rPr>
        <w:t>二、培养对象遴选</w:t>
      </w:r>
      <w:bookmarkEnd w:id="1"/>
    </w:p>
    <w:p w14:paraId="3EF1C87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 w:name="heading_2"/>
      <w:r>
        <w:rPr>
          <w:rFonts w:hint="eastAsia" w:ascii="楷体" w:hAnsi="楷体" w:eastAsia="楷体" w:cs="楷体"/>
          <w:sz w:val="32"/>
          <w:szCs w:val="32"/>
        </w:rPr>
        <w:t>（一）遴选范围</w:t>
      </w:r>
      <w:bookmarkEnd w:id="2"/>
    </w:p>
    <w:p w14:paraId="22CFAEA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全县初中、小学、幼儿园在岗任课教师。</w:t>
      </w:r>
    </w:p>
    <w:p w14:paraId="1584B86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3" w:name="heading_3"/>
      <w:r>
        <w:rPr>
          <w:rFonts w:hint="eastAsia" w:ascii="楷体" w:hAnsi="楷体" w:eastAsia="楷体" w:cs="楷体"/>
          <w:sz w:val="32"/>
          <w:szCs w:val="32"/>
        </w:rPr>
        <w:t>（二）遴选名额</w:t>
      </w:r>
      <w:bookmarkEnd w:id="3"/>
    </w:p>
    <w:p w14:paraId="369B4EE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中小学语文、数学、英语学科及幼儿教育，每个学科在培养周期内遴选培养对象人数原则上不超过5人；中小学其他学科周期内遴选人数原则上不超过3人。</w:t>
      </w:r>
    </w:p>
    <w:p w14:paraId="2C45804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4" w:name="heading_4"/>
      <w:r>
        <w:rPr>
          <w:rFonts w:hint="eastAsia" w:ascii="楷体" w:hAnsi="楷体" w:eastAsia="楷体" w:cs="楷体"/>
          <w:sz w:val="32"/>
          <w:szCs w:val="32"/>
        </w:rPr>
        <w:t>（三）遴选条件</w:t>
      </w:r>
      <w:bookmarkEnd w:id="4"/>
    </w:p>
    <w:p w14:paraId="4F9CAFF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highlight w:val="none"/>
        </w:rPr>
        <w:t>年龄在4</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周岁以下（含4</w:t>
      </w:r>
      <w:r>
        <w:rPr>
          <w:rFonts w:hint="eastAsia" w:ascii="仿宋" w:hAnsi="仿宋" w:eastAsia="仿宋" w:cs="仿宋"/>
          <w:sz w:val="32"/>
          <w:szCs w:val="32"/>
          <w:highlight w:val="none"/>
          <w:lang w:val="en-US" w:eastAsia="zh-CN"/>
        </w:rPr>
        <w:t>5</w:t>
      </w:r>
      <w:r>
        <w:rPr>
          <w:rFonts w:hint="eastAsia" w:ascii="仿宋" w:hAnsi="仿宋" w:eastAsia="仿宋" w:cs="仿宋"/>
          <w:sz w:val="32"/>
          <w:szCs w:val="32"/>
          <w:highlight w:val="none"/>
        </w:rPr>
        <w:t>周岁，198</w:t>
      </w:r>
      <w:r>
        <w:rPr>
          <w:rFonts w:hint="eastAsia" w:ascii="仿宋" w:hAnsi="仿宋" w:eastAsia="仿宋" w:cs="仿宋"/>
          <w:sz w:val="32"/>
          <w:szCs w:val="32"/>
          <w:highlight w:val="none"/>
          <w:lang w:val="en-US" w:eastAsia="zh-CN"/>
        </w:rPr>
        <w:t>1</w:t>
      </w:r>
      <w:r>
        <w:rPr>
          <w:rFonts w:hint="eastAsia" w:ascii="仿宋" w:hAnsi="仿宋" w:eastAsia="仿宋" w:cs="仿宋"/>
          <w:sz w:val="32"/>
          <w:szCs w:val="32"/>
          <w:highlight w:val="none"/>
        </w:rPr>
        <w:t>年及以后出生），</w:t>
      </w:r>
      <w:r>
        <w:rPr>
          <w:rFonts w:hint="eastAsia" w:ascii="仿宋" w:hAnsi="仿宋" w:eastAsia="仿宋" w:cs="仿宋"/>
          <w:sz w:val="32"/>
          <w:szCs w:val="32"/>
        </w:rPr>
        <w:t>专科及以上学历，从事教育教学工作满3年的中小学、幼儿园各学科在岗教师；政治素质过硬，具备强烈的责任感、敬业精神、合作意识与创新精神；有主动的专业成长意愿与学习热情，对教育新理念、新方法、新技术具备良好的理解与接纳能力；熟练掌握数字技术，能够实现信息技术与学科教学常态化融合应用；积极投身教育教学改革探索，在校级及以上层面发挥示范、引领和辐射作用的骨干教师</w:t>
      </w:r>
      <w:r>
        <w:rPr>
          <w:rFonts w:hint="eastAsia" w:cs="仿宋"/>
          <w:sz w:val="32"/>
          <w:szCs w:val="32"/>
          <w:lang w:eastAsia="zh-CN"/>
        </w:rPr>
        <w:t>；对</w:t>
      </w:r>
      <w:r>
        <w:rPr>
          <w:rFonts w:hint="eastAsia" w:ascii="仿宋" w:hAnsi="仿宋" w:eastAsia="仿宋" w:cs="仿宋"/>
          <w:sz w:val="32"/>
          <w:szCs w:val="32"/>
        </w:rPr>
        <w:t>教育教学成果突出者，可适当放宽遴选条件。</w:t>
      </w:r>
    </w:p>
    <w:p w14:paraId="121F1B4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default" w:ascii="仿宋" w:hAnsi="仿宋" w:eastAsia="仿宋" w:cs="仿宋"/>
          <w:color w:val="auto"/>
          <w:sz w:val="32"/>
          <w:szCs w:val="32"/>
          <w:highlight w:val="yellow"/>
          <w:lang w:val="en-US" w:eastAsia="zh-CN"/>
        </w:rPr>
      </w:pPr>
      <w:r>
        <w:rPr>
          <w:rFonts w:hint="eastAsia"/>
          <w:lang w:eastAsia="zh-CN"/>
        </w:rPr>
        <w:t>（</w:t>
      </w:r>
      <w:r>
        <w:rPr>
          <w:rFonts w:hint="eastAsia"/>
          <w:lang w:val="en-US" w:eastAsia="zh-CN"/>
        </w:rPr>
        <w:t>四）遴选办法：义务教育学校每学科可推荐1人，学前每个幼儿园（含校办园）每园可推荐1人。最终采取学校推荐和学科教研员遴选相结合的办法最终确认。（对于学校没有推荐上来的适合教师，教研员可根据学科教师能力表现直接进行遴选）。</w:t>
      </w:r>
    </w:p>
    <w:p w14:paraId="1CEE864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color w:val="auto"/>
          <w:sz w:val="32"/>
          <w:szCs w:val="32"/>
        </w:rPr>
      </w:pPr>
      <w:bookmarkStart w:id="5" w:name="heading_5"/>
      <w:r>
        <w:rPr>
          <w:rFonts w:hint="eastAsia" w:ascii="楷体" w:hAnsi="楷体" w:eastAsia="楷体" w:cs="楷体"/>
          <w:sz w:val="32"/>
          <w:szCs w:val="32"/>
        </w:rPr>
        <w:t>（</w:t>
      </w:r>
      <w:r>
        <w:rPr>
          <w:rFonts w:hint="eastAsia" w:ascii="楷体" w:hAnsi="楷体" w:eastAsia="楷体" w:cs="楷体"/>
          <w:sz w:val="32"/>
          <w:szCs w:val="32"/>
          <w:lang w:val="en-US" w:eastAsia="zh-CN"/>
        </w:rPr>
        <w:t>五</w:t>
      </w:r>
      <w:r>
        <w:rPr>
          <w:rFonts w:hint="eastAsia" w:ascii="楷体" w:hAnsi="楷体" w:eastAsia="楷体" w:cs="楷体"/>
          <w:sz w:val="32"/>
          <w:szCs w:val="32"/>
        </w:rPr>
        <w:t>）培养周期</w:t>
      </w:r>
      <w:bookmarkEnd w:id="5"/>
    </w:p>
    <w:p w14:paraId="4FAFD6B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w:t>
      </w:r>
      <w:r>
        <w:rPr>
          <w:rFonts w:hint="eastAsia" w:cs="仿宋"/>
          <w:sz w:val="32"/>
          <w:szCs w:val="32"/>
          <w:lang w:val="en-US" w:eastAsia="zh-CN"/>
        </w:rPr>
        <w:t>工程</w:t>
      </w:r>
      <w:r>
        <w:rPr>
          <w:rFonts w:hint="eastAsia" w:ascii="仿宋" w:hAnsi="仿宋" w:eastAsia="仿宋" w:cs="仿宋"/>
          <w:sz w:val="32"/>
          <w:szCs w:val="32"/>
        </w:rPr>
        <w:t>培养周期为3年，自2026年起至2029年止。</w:t>
      </w:r>
    </w:p>
    <w:p w14:paraId="3D15933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bookmarkStart w:id="6" w:name="heading_6"/>
      <w:r>
        <w:rPr>
          <w:rFonts w:hint="eastAsia" w:ascii="黑体" w:hAnsi="黑体" w:eastAsia="黑体" w:cs="黑体"/>
          <w:sz w:val="32"/>
          <w:szCs w:val="32"/>
        </w:rPr>
        <w:t>三、培养目标</w:t>
      </w:r>
      <w:bookmarkEnd w:id="6"/>
    </w:p>
    <w:p w14:paraId="54D646F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通过本工程系统</w:t>
      </w:r>
      <w:r>
        <w:rPr>
          <w:rFonts w:hint="eastAsia" w:ascii="仿宋" w:hAnsi="仿宋" w:eastAsia="仿宋" w:cs="仿宋"/>
          <w:sz w:val="32"/>
          <w:szCs w:val="32"/>
          <w:lang w:eastAsia="zh-CN"/>
        </w:rPr>
        <w:t>培养</w:t>
      </w:r>
      <w:r>
        <w:rPr>
          <w:rFonts w:hint="eastAsia" w:ascii="仿宋" w:hAnsi="仿宋" w:eastAsia="仿宋" w:cs="仿宋"/>
          <w:sz w:val="32"/>
          <w:szCs w:val="32"/>
        </w:rPr>
        <w:t>，实现培养对象的师德修养、课堂教学能力、教育科研能力、校本研修引领能力、</w:t>
      </w:r>
      <w:r>
        <w:rPr>
          <w:rFonts w:hint="eastAsia" w:ascii="仿宋" w:hAnsi="仿宋" w:eastAsia="仿宋" w:cs="仿宋"/>
          <w:sz w:val="32"/>
          <w:szCs w:val="32"/>
          <w:lang w:val="en-US" w:eastAsia="zh-CN"/>
        </w:rPr>
        <w:t>教师数字素养</w:t>
      </w:r>
      <w:r>
        <w:rPr>
          <w:rFonts w:hint="eastAsia" w:ascii="仿宋" w:hAnsi="仿宋" w:eastAsia="仿宋" w:cs="仿宋"/>
          <w:sz w:val="32"/>
          <w:szCs w:val="32"/>
        </w:rPr>
        <w:t>能力全面显著提升，具体目标如下：</w:t>
      </w:r>
    </w:p>
    <w:p w14:paraId="1971D80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7" w:name="heading_7"/>
      <w:r>
        <w:rPr>
          <w:rFonts w:hint="eastAsia" w:ascii="楷体" w:hAnsi="楷体" w:eastAsia="楷体" w:cs="楷体"/>
          <w:sz w:val="32"/>
          <w:szCs w:val="32"/>
        </w:rPr>
        <w:t>（一）锤炼高尚的师德修养</w:t>
      </w:r>
      <w:bookmarkEnd w:id="7"/>
    </w:p>
    <w:p w14:paraId="512EE13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通过理论学习、榜样示范、吸收内化等多元方式，推动培养对象进一步提升师德修养与综合育人素养，坚守立德树人初心使命。</w:t>
      </w:r>
    </w:p>
    <w:p w14:paraId="75D9BC1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8" w:name="heading_8"/>
      <w:r>
        <w:rPr>
          <w:rFonts w:hint="eastAsia" w:ascii="楷体" w:hAnsi="楷体" w:eastAsia="楷体" w:cs="楷体"/>
          <w:sz w:val="32"/>
          <w:szCs w:val="32"/>
        </w:rPr>
        <w:t>（二）锻造过硬的课堂教学能力</w:t>
      </w:r>
      <w:bookmarkEnd w:id="8"/>
    </w:p>
    <w:p w14:paraId="4633157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精准把握国内外基础教育课程改革动态与发展趋势，更新教育教学理念；系统掌握学科新课程标准，深刻领会学科教材体系与编写意图，创新教学设计与实施路径；通过课堂观察与诊断，精准发现教学问题，提升课堂教学诊断与改进能力；具备扎实的学科专业素养，能够独立解决课堂教学中的各类问题，形成鲜明独特的教学风格，能够独立设计并执教县级及以上示范课，课堂教学成为全县学科教学标杆。</w:t>
      </w:r>
    </w:p>
    <w:p w14:paraId="64D393D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9" w:name="heading_9"/>
      <w:r>
        <w:rPr>
          <w:rFonts w:hint="eastAsia" w:ascii="楷体" w:hAnsi="楷体" w:eastAsia="楷体" w:cs="楷体"/>
          <w:sz w:val="32"/>
          <w:szCs w:val="32"/>
        </w:rPr>
        <w:t>（三）</w:t>
      </w:r>
      <w:r>
        <w:rPr>
          <w:rFonts w:hint="eastAsia" w:ascii="楷体" w:hAnsi="楷体" w:eastAsia="楷体" w:cs="楷体"/>
          <w:sz w:val="32"/>
          <w:szCs w:val="32"/>
          <w:lang w:eastAsia="zh-CN"/>
        </w:rPr>
        <w:t>培养</w:t>
      </w:r>
      <w:r>
        <w:rPr>
          <w:rFonts w:hint="eastAsia" w:ascii="楷体" w:hAnsi="楷体" w:eastAsia="楷体" w:cs="楷体"/>
          <w:sz w:val="32"/>
          <w:szCs w:val="32"/>
        </w:rPr>
        <w:t>扎实的教育科研能力</w:t>
      </w:r>
      <w:bookmarkEnd w:id="9"/>
    </w:p>
    <w:p w14:paraId="3083D2D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了解学科发展前沿与教育创新方向，树立强烈的教育科研意识，系统掌握教育科研基本理论与方法；能够独立撰写高质量教育教学论文、教学经验总结与研究报告；主动开展教育教学实践研究，能够承担县级及以上教育科研课题研究工作，研究成果在县级及以上教育或业务主管部门组织的评比活动中获奖，或在县级及以上公开发行的教育刊物上发表。</w:t>
      </w:r>
    </w:p>
    <w:p w14:paraId="1B64294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0" w:name="heading_10"/>
      <w:r>
        <w:rPr>
          <w:rFonts w:hint="eastAsia" w:ascii="楷体" w:hAnsi="楷体" w:eastAsia="楷体" w:cs="楷体"/>
          <w:sz w:val="32"/>
          <w:szCs w:val="32"/>
        </w:rPr>
        <w:t>（四）提升校本研修引领能力</w:t>
      </w:r>
      <w:bookmarkEnd w:id="10"/>
    </w:p>
    <w:p w14:paraId="16D859B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能够将教育理论与教学实践深度结合，独立策划、组织校本教研活动，在校本教研中充分发挥示范引领作用，带动所在学校校本教研的质量整体提升。</w:t>
      </w:r>
    </w:p>
    <w:p w14:paraId="0BAF343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1" w:name="heading_11"/>
      <w:r>
        <w:rPr>
          <w:rFonts w:hint="eastAsia" w:ascii="楷体" w:hAnsi="楷体" w:eastAsia="楷体" w:cs="楷体"/>
          <w:sz w:val="32"/>
          <w:szCs w:val="32"/>
        </w:rPr>
        <w:t>（五）强化数字教育技术应用能力</w:t>
      </w:r>
      <w:bookmarkEnd w:id="11"/>
    </w:p>
    <w:p w14:paraId="799AA54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实现信息技术与学科课堂教学常态化深度融合；通过现代教育技术理论学习与实操训练，熟练运用国家教育智慧云平台、人工智能工具等数字教育资源与工具，全面提升教师数字素养的能力。</w:t>
      </w:r>
    </w:p>
    <w:p w14:paraId="1B4147FB">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2" w:name="heading_12"/>
      <w:r>
        <w:rPr>
          <w:rFonts w:hint="eastAsia" w:ascii="楷体" w:hAnsi="楷体" w:eastAsia="楷体" w:cs="楷体"/>
          <w:sz w:val="32"/>
          <w:szCs w:val="32"/>
        </w:rPr>
        <w:t>（六）发挥示范辐射引领作用</w:t>
      </w:r>
      <w:bookmarkEnd w:id="12"/>
    </w:p>
    <w:p w14:paraId="11F4651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为优秀培养对象搭建专业成长与风采展示平台，总结推广名师成长经验，扩大区域影响力，打造县域教育教学标杆品牌。</w:t>
      </w:r>
    </w:p>
    <w:p w14:paraId="28A778C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13" w:name="heading_13"/>
      <w:r>
        <w:rPr>
          <w:rFonts w:hint="eastAsia" w:ascii="黑体" w:hAnsi="黑体" w:eastAsia="黑体" w:cs="黑体"/>
          <w:sz w:val="32"/>
          <w:szCs w:val="32"/>
        </w:rPr>
        <w:t>四、培养实施措施</w:t>
      </w:r>
      <w:bookmarkEnd w:id="13"/>
    </w:p>
    <w:p w14:paraId="02153B7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本工程实行导师负责制，由教研员担任培养对象的带培导师。</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需对培养对象开展全周期“传、帮、带”培养，常态化组织听课、说课、评课、导课活动，从师德修养、育人理念、教学实践、教育科研</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数字素养</w:t>
      </w:r>
      <w:r>
        <w:rPr>
          <w:rFonts w:hint="eastAsia" w:ascii="仿宋" w:hAnsi="仿宋" w:eastAsia="仿宋" w:cs="仿宋"/>
          <w:sz w:val="32"/>
          <w:szCs w:val="32"/>
        </w:rPr>
        <w:t>等方面开展全方位指导，推动培养对象教育教学能力持续提升，逐步成长为县域内乃至区域内有影响力的教学名师。</w:t>
      </w:r>
    </w:p>
    <w:p w14:paraId="551FC32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4" w:name="heading_14"/>
      <w:r>
        <w:rPr>
          <w:rFonts w:hint="eastAsia" w:ascii="楷体" w:hAnsi="楷体" w:eastAsia="楷体" w:cs="楷体"/>
          <w:sz w:val="32"/>
          <w:szCs w:val="32"/>
        </w:rPr>
        <w:t>（一）健全培养管理制度</w:t>
      </w:r>
      <w:bookmarkEnd w:id="14"/>
    </w:p>
    <w:p w14:paraId="489B915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通榆县教师进修学校制定《“教研员帮带骨干教师、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名师工程”工作制度》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附件1</w:t>
      </w:r>
      <w:r>
        <w:rPr>
          <w:rFonts w:hint="eastAsia" w:ascii="仿宋" w:hAnsi="仿宋" w:eastAsia="仿宋" w:cs="仿宋"/>
          <w:sz w:val="32"/>
          <w:szCs w:val="32"/>
          <w:highlight w:val="none"/>
          <w:lang w:eastAsia="zh-CN"/>
        </w:rPr>
        <w:t>）</w:t>
      </w:r>
      <w:r>
        <w:rPr>
          <w:rFonts w:hint="eastAsia" w:ascii="仿宋" w:hAnsi="仿宋" w:eastAsia="仿宋" w:cs="仿宋"/>
          <w:sz w:val="32"/>
          <w:szCs w:val="32"/>
        </w:rPr>
        <w:t>，由</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与培养对象签订培养协议书</w:t>
      </w:r>
      <w:r>
        <w:rPr>
          <w:rFonts w:hint="eastAsia" w:ascii="仿宋" w:hAnsi="仿宋" w:eastAsia="仿宋" w:cs="仿宋"/>
          <w:sz w:val="32"/>
          <w:szCs w:val="32"/>
          <w:highlight w:val="none"/>
          <w:lang w:eastAsia="zh-CN"/>
        </w:rPr>
        <w:t>（</w:t>
      </w:r>
      <w:r>
        <w:rPr>
          <w:rFonts w:hint="eastAsia" w:ascii="仿宋" w:hAnsi="仿宋" w:eastAsia="仿宋" w:cs="仿宋"/>
          <w:sz w:val="32"/>
          <w:szCs w:val="32"/>
          <w:highlight w:val="none"/>
          <w:lang w:val="en-US" w:eastAsia="zh-CN"/>
        </w:rPr>
        <w:t>附件2</w:t>
      </w:r>
      <w:r>
        <w:rPr>
          <w:rFonts w:hint="eastAsia" w:ascii="仿宋" w:hAnsi="仿宋" w:eastAsia="仿宋" w:cs="仿宋"/>
          <w:sz w:val="32"/>
          <w:szCs w:val="32"/>
          <w:highlight w:val="none"/>
          <w:lang w:eastAsia="zh-CN"/>
        </w:rPr>
        <w:t>）</w:t>
      </w:r>
      <w:r>
        <w:rPr>
          <w:rFonts w:hint="eastAsia" w:ascii="仿宋" w:hAnsi="仿宋" w:eastAsia="仿宋" w:cs="仿宋"/>
          <w:sz w:val="32"/>
          <w:szCs w:val="32"/>
        </w:rPr>
        <w:t>，明确双方的责任、权利与义务。以提升培养对象教育教学核心能力为重点，结合培养对象的知识结构、专业短板与教学岗位实际，“一人一策”制定个性化培养计划。</w:t>
      </w:r>
    </w:p>
    <w:p w14:paraId="54FDF25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5" w:name="heading_15"/>
      <w:r>
        <w:rPr>
          <w:rFonts w:hint="eastAsia" w:ascii="楷体" w:hAnsi="楷体" w:eastAsia="楷体" w:cs="楷体"/>
          <w:sz w:val="32"/>
          <w:szCs w:val="32"/>
        </w:rPr>
        <w:t>（二）深耕课堂精准指导</w:t>
      </w:r>
      <w:bookmarkEnd w:id="15"/>
    </w:p>
    <w:p w14:paraId="2AFBBD2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eastAsia="zh-CN"/>
        </w:rPr>
        <w:t>学科教研员</w:t>
      </w:r>
      <w:r>
        <w:rPr>
          <w:rFonts w:hint="eastAsia" w:ascii="仿宋" w:hAnsi="仿宋" w:eastAsia="仿宋" w:cs="仿宋"/>
          <w:sz w:val="32"/>
          <w:szCs w:val="32"/>
        </w:rPr>
        <w:t>可结合</w:t>
      </w:r>
      <w:r>
        <w:rPr>
          <w:rFonts w:hint="eastAsia" w:ascii="仿宋" w:hAnsi="仿宋" w:eastAsia="仿宋" w:cs="仿宋"/>
          <w:sz w:val="32"/>
          <w:szCs w:val="32"/>
          <w:lang w:val="en-US" w:eastAsia="zh-CN"/>
        </w:rPr>
        <w:t>学科活动</w:t>
      </w:r>
      <w:r>
        <w:rPr>
          <w:rFonts w:hint="eastAsia" w:ascii="仿宋" w:hAnsi="仿宋" w:eastAsia="仿宋" w:cs="仿宋"/>
          <w:sz w:val="32"/>
          <w:szCs w:val="32"/>
        </w:rPr>
        <w:t>，以教学合作伙伴的身份，深入培养对象的课堂教学一线，摒弃“我看你做、我说你听、我评你改”的单向指导模式，与培养对象共同复盘分析课堂教学的成效、问题与成因，在反思、切磋、共鸣、自省中实现教学能力双向提升，对培养对象进行“量身定制”的精准指导。每学期</w:t>
      </w:r>
      <w:r>
        <w:rPr>
          <w:rFonts w:hint="eastAsia" w:ascii="仿宋" w:hAnsi="仿宋" w:eastAsia="仿宋" w:cs="仿宋"/>
          <w:sz w:val="32"/>
          <w:szCs w:val="32"/>
          <w:lang w:eastAsia="zh-CN"/>
        </w:rPr>
        <w:t>学科教研员</w:t>
      </w:r>
      <w:r>
        <w:rPr>
          <w:rFonts w:hint="eastAsia" w:ascii="仿宋" w:hAnsi="仿宋" w:eastAsia="仿宋" w:cs="仿宋"/>
          <w:sz w:val="32"/>
          <w:szCs w:val="32"/>
        </w:rPr>
        <w:t>对每位培养对象的听课指导不少于4节（线上</w:t>
      </w:r>
      <w:r>
        <w:rPr>
          <w:rFonts w:hint="eastAsia" w:ascii="仿宋" w:hAnsi="仿宋" w:eastAsia="仿宋" w:cs="仿宋"/>
          <w:sz w:val="32"/>
          <w:szCs w:val="32"/>
          <w:lang w:val="en-US" w:eastAsia="zh-CN"/>
        </w:rPr>
        <w:t>+</w:t>
      </w:r>
      <w:r>
        <w:rPr>
          <w:rFonts w:hint="eastAsia" w:ascii="仿宋" w:hAnsi="仿宋" w:eastAsia="仿宋" w:cs="仿宋"/>
          <w:sz w:val="32"/>
          <w:szCs w:val="32"/>
        </w:rPr>
        <w:t>线下形式），必须做到听、评、议、改全流程闭环。</w:t>
      </w:r>
    </w:p>
    <w:p w14:paraId="65C8927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6" w:name="heading_16"/>
      <w:r>
        <w:rPr>
          <w:rFonts w:hint="eastAsia" w:ascii="楷体" w:hAnsi="楷体" w:eastAsia="楷体" w:cs="楷体"/>
          <w:sz w:val="32"/>
          <w:szCs w:val="32"/>
        </w:rPr>
        <w:t>（三）引领教育科研课题研究</w:t>
      </w:r>
      <w:bookmarkEnd w:id="16"/>
    </w:p>
    <w:p w14:paraId="3D551B1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培养对象需立足教学实践，结合自身教学特色、学科教学研究与改革热点，确定个人研究方向与科研课题，制定课题研究实施方案，明确研究路径与具体措施。</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对课题研究方案提出专业指导意见，指导培养对象完善课题设计，全程指导课题落地实施，定期对课题推进情况进行复盘、总结与调控，指导培养对象撰写阶段性研究报告与结题报告，系统梳理固化课题研究成果。</w:t>
      </w:r>
    </w:p>
    <w:p w14:paraId="2F90192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7" w:name="heading_17"/>
      <w:r>
        <w:rPr>
          <w:rFonts w:hint="eastAsia" w:ascii="楷体" w:hAnsi="楷体" w:eastAsia="楷体" w:cs="楷体"/>
          <w:sz w:val="32"/>
          <w:szCs w:val="32"/>
        </w:rPr>
        <w:t>（四）强化教研活动专业引领</w:t>
      </w:r>
      <w:bookmarkEnd w:id="17"/>
    </w:p>
    <w:p w14:paraId="08B1B21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学科教研员</w:t>
      </w:r>
      <w:r>
        <w:rPr>
          <w:rFonts w:hint="eastAsia" w:ascii="仿宋" w:hAnsi="仿宋" w:eastAsia="仿宋" w:cs="仿宋"/>
          <w:sz w:val="32"/>
          <w:szCs w:val="32"/>
        </w:rPr>
        <w:t>需将培养对象作为学科教研</w:t>
      </w:r>
      <w:r>
        <w:rPr>
          <w:rFonts w:hint="eastAsia" w:ascii="仿宋" w:hAnsi="仿宋" w:eastAsia="仿宋" w:cs="仿宋"/>
          <w:sz w:val="32"/>
          <w:szCs w:val="32"/>
          <w:lang w:val="en-US" w:eastAsia="zh-CN"/>
        </w:rPr>
        <w:t>活动</w:t>
      </w:r>
      <w:r>
        <w:rPr>
          <w:rFonts w:hint="eastAsia" w:ascii="仿宋" w:hAnsi="仿宋" w:eastAsia="仿宋" w:cs="仿宋"/>
          <w:sz w:val="32"/>
          <w:szCs w:val="32"/>
        </w:rPr>
        <w:t>的核心骨干力量，在学科教研组活动中，</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要充分调动培养对象参与交流研讨的主动性与积极性。</w:t>
      </w:r>
    </w:p>
    <w:p w14:paraId="7911C90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8" w:name="heading_18"/>
      <w:r>
        <w:rPr>
          <w:rFonts w:hint="eastAsia" w:ascii="楷体" w:hAnsi="楷体" w:eastAsia="楷体" w:cs="楷体"/>
          <w:sz w:val="32"/>
          <w:szCs w:val="32"/>
        </w:rPr>
        <w:t>（五）丰富教育实践研修活动</w:t>
      </w:r>
      <w:bookmarkEnd w:id="18"/>
    </w:p>
    <w:p w14:paraId="6E94F5B5">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1.</w:t>
      </w:r>
      <w:r>
        <w:rPr>
          <w:rFonts w:hint="eastAsia" w:ascii="仿宋" w:hAnsi="仿宋" w:eastAsia="仿宋" w:cs="仿宋"/>
          <w:sz w:val="32"/>
          <w:szCs w:val="32"/>
        </w:rPr>
        <w:t>名校参观考察</w:t>
      </w:r>
    </w:p>
    <w:p w14:paraId="0D196D59">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培养周期内，依托国培、省培</w:t>
      </w:r>
      <w:r>
        <w:rPr>
          <w:rFonts w:hint="eastAsia" w:ascii="仿宋" w:hAnsi="仿宋" w:eastAsia="仿宋" w:cs="仿宋"/>
          <w:sz w:val="32"/>
          <w:szCs w:val="32"/>
          <w:lang w:val="en-US" w:eastAsia="zh-CN"/>
        </w:rPr>
        <w:t>等</w:t>
      </w:r>
      <w:r>
        <w:rPr>
          <w:rFonts w:hint="eastAsia" w:ascii="仿宋" w:hAnsi="仿宋" w:eastAsia="仿宋" w:cs="仿宋"/>
          <w:sz w:val="32"/>
          <w:szCs w:val="32"/>
        </w:rPr>
        <w:t>项目组织培养对象赴县内外优质名校考察，通过实地观摩、课堂听课、座谈交流等形式，学习借鉴这些学校教育教学的先进经验与办学成果。</w:t>
      </w:r>
    </w:p>
    <w:p w14:paraId="4BCD676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2.</w:t>
      </w:r>
      <w:r>
        <w:rPr>
          <w:rFonts w:hint="eastAsia" w:ascii="仿宋" w:hAnsi="仿宋" w:eastAsia="仿宋" w:cs="仿宋"/>
          <w:sz w:val="32"/>
          <w:szCs w:val="32"/>
          <w:lang w:val="en-US" w:eastAsia="zh-CN"/>
        </w:rPr>
        <w:t>参加教研活动</w:t>
      </w:r>
    </w:p>
    <w:p w14:paraId="42B0B87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培养周期内</w:t>
      </w:r>
      <w:r>
        <w:rPr>
          <w:rFonts w:hint="eastAsia" w:ascii="仿宋" w:hAnsi="仿宋" w:eastAsia="仿宋" w:cs="仿宋"/>
          <w:sz w:val="32"/>
          <w:szCs w:val="32"/>
          <w:lang w:val="en-US" w:eastAsia="zh-CN"/>
        </w:rPr>
        <w:t>积极参加学科教研员</w:t>
      </w:r>
      <w:r>
        <w:rPr>
          <w:rFonts w:hint="eastAsia" w:ascii="仿宋" w:hAnsi="仿宋" w:eastAsia="仿宋" w:cs="仿宋"/>
          <w:sz w:val="32"/>
          <w:szCs w:val="32"/>
        </w:rPr>
        <w:t>组织</w:t>
      </w:r>
      <w:r>
        <w:rPr>
          <w:rFonts w:hint="eastAsia" w:ascii="仿宋" w:hAnsi="仿宋" w:eastAsia="仿宋" w:cs="仿宋"/>
          <w:sz w:val="32"/>
          <w:szCs w:val="32"/>
          <w:lang w:val="en-US" w:eastAsia="zh-CN"/>
        </w:rPr>
        <w:t>的各种教研</w:t>
      </w:r>
      <w:r>
        <w:rPr>
          <w:rFonts w:hint="eastAsia" w:ascii="仿宋" w:hAnsi="仿宋" w:eastAsia="仿宋" w:cs="仿宋"/>
          <w:sz w:val="32"/>
          <w:szCs w:val="32"/>
        </w:rPr>
        <w:t>活动，</w:t>
      </w:r>
      <w:r>
        <w:rPr>
          <w:rFonts w:hint="eastAsia" w:ascii="仿宋" w:hAnsi="仿宋" w:eastAsia="仿宋" w:cs="仿宋"/>
          <w:sz w:val="32"/>
          <w:szCs w:val="32"/>
          <w:lang w:val="en-US" w:eastAsia="zh-CN"/>
        </w:rPr>
        <w:t>每学年</w:t>
      </w:r>
      <w:r>
        <w:rPr>
          <w:rFonts w:hint="eastAsia" w:ascii="仿宋" w:hAnsi="仿宋" w:eastAsia="仿宋" w:cs="仿宋"/>
          <w:sz w:val="32"/>
          <w:szCs w:val="32"/>
        </w:rPr>
        <w:t>进行1次汇报研讨活动（可与全县学科教研活动统筹开展）。</w:t>
      </w:r>
    </w:p>
    <w:p w14:paraId="5C4EA04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3.</w:t>
      </w:r>
      <w:r>
        <w:rPr>
          <w:rFonts w:hint="eastAsia" w:ascii="仿宋" w:hAnsi="仿宋" w:eastAsia="仿宋" w:cs="仿宋"/>
          <w:sz w:val="32"/>
          <w:szCs w:val="32"/>
        </w:rPr>
        <w:t>课堂教学集体会诊</w:t>
      </w:r>
    </w:p>
    <w:p w14:paraId="7BE8AE56">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每学年至少开展1次，教研员将自己所带培养对象召集在一起，选取县域内学校的</w:t>
      </w:r>
      <w:r>
        <w:rPr>
          <w:rFonts w:hint="eastAsia" w:ascii="仿宋" w:hAnsi="仿宋" w:eastAsia="仿宋" w:cs="仿宋"/>
          <w:sz w:val="32"/>
          <w:szCs w:val="32"/>
          <w:lang w:val="en-US" w:eastAsia="zh-CN"/>
        </w:rPr>
        <w:t>1</w:t>
      </w:r>
      <w:r>
        <w:rPr>
          <w:rFonts w:hint="eastAsia" w:ascii="仿宋" w:hAnsi="仿宋" w:eastAsia="仿宋" w:cs="仿宋"/>
          <w:sz w:val="32"/>
          <w:szCs w:val="32"/>
        </w:rPr>
        <w:t>节课堂教学进行集体剖析，精准梳理课堂教学的亮点与不足，并提出针对性改进意见；每位培养对象要形成1篇课堂教学诊断分析报告。</w:t>
      </w:r>
    </w:p>
    <w:p w14:paraId="71BED72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cs="仿宋"/>
          <w:sz w:val="32"/>
          <w:szCs w:val="32"/>
          <w:lang w:val="en-US" w:eastAsia="zh-CN"/>
        </w:rPr>
        <w:t>4.</w:t>
      </w:r>
      <w:r>
        <w:rPr>
          <w:rFonts w:hint="eastAsia" w:ascii="仿宋" w:hAnsi="仿宋" w:eastAsia="仿宋" w:cs="仿宋"/>
          <w:sz w:val="32"/>
          <w:szCs w:val="32"/>
        </w:rPr>
        <w:t>培养成果总结梳理</w:t>
      </w:r>
    </w:p>
    <w:p w14:paraId="276DD13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三年培养周期结束后，</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与培养对象需分别撰写培养工作总结</w:t>
      </w:r>
      <w:r>
        <w:rPr>
          <w:rFonts w:hint="eastAsia" w:ascii="仿宋" w:hAnsi="仿宋" w:eastAsia="仿宋" w:cs="仿宋"/>
          <w:sz w:val="32"/>
          <w:szCs w:val="32"/>
          <w:lang w:val="en-US" w:eastAsia="zh-CN"/>
        </w:rPr>
        <w:t>材料</w:t>
      </w:r>
      <w:r>
        <w:rPr>
          <w:rFonts w:hint="eastAsia" w:ascii="仿宋" w:hAnsi="仿宋" w:eastAsia="仿宋" w:cs="仿宋"/>
          <w:sz w:val="32"/>
          <w:szCs w:val="32"/>
        </w:rPr>
        <w:t>，梳理成效、问题与改进建议。</w:t>
      </w:r>
    </w:p>
    <w:p w14:paraId="6E1E85D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19" w:name="heading_19"/>
      <w:r>
        <w:rPr>
          <w:rFonts w:hint="eastAsia" w:ascii="楷体" w:hAnsi="楷体" w:eastAsia="楷体" w:cs="楷体"/>
          <w:sz w:val="32"/>
          <w:szCs w:val="32"/>
        </w:rPr>
        <w:t>（六）开展数字素养专项提升培训</w:t>
      </w:r>
      <w:bookmarkEnd w:id="19"/>
    </w:p>
    <w:p w14:paraId="3CB0590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lang w:val="en-US" w:eastAsia="zh-CN"/>
        </w:rPr>
        <w:t>学科教研员组织教师</w:t>
      </w:r>
      <w:r>
        <w:rPr>
          <w:rFonts w:hint="eastAsia" w:ascii="仿宋" w:hAnsi="仿宋" w:eastAsia="仿宋" w:cs="仿宋"/>
          <w:sz w:val="32"/>
          <w:szCs w:val="32"/>
        </w:rPr>
        <w:t>依托 “相约星期六</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技能大提升</w:t>
      </w:r>
      <w:r>
        <w:rPr>
          <w:rFonts w:hint="eastAsia" w:ascii="仿宋" w:hAnsi="仿宋" w:eastAsia="仿宋" w:cs="仿宋"/>
          <w:sz w:val="32"/>
          <w:szCs w:val="32"/>
        </w:rPr>
        <w:t>”</w:t>
      </w:r>
      <w:r>
        <w:rPr>
          <w:rFonts w:hint="eastAsia" w:cs="仿宋"/>
          <w:sz w:val="32"/>
          <w:szCs w:val="32"/>
          <w:lang w:eastAsia="zh-CN"/>
        </w:rPr>
        <w:t>、</w:t>
      </w:r>
      <w:r>
        <w:rPr>
          <w:rFonts w:hint="eastAsia" w:cs="仿宋"/>
          <w:sz w:val="32"/>
          <w:szCs w:val="32"/>
          <w:lang w:val="en-US" w:eastAsia="zh-CN"/>
        </w:rPr>
        <w:t>国家中小学教师智慧教育平台</w:t>
      </w:r>
      <w:r>
        <w:rPr>
          <w:rFonts w:hint="eastAsia" w:ascii="仿宋" w:hAnsi="仿宋" w:eastAsia="仿宋" w:cs="仿宋"/>
          <w:sz w:val="32"/>
          <w:szCs w:val="32"/>
          <w:lang w:val="en-US" w:eastAsia="zh-CN"/>
        </w:rPr>
        <w:t>等相关</w:t>
      </w:r>
      <w:r>
        <w:rPr>
          <w:rFonts w:hint="eastAsia" w:cs="仿宋"/>
          <w:sz w:val="32"/>
          <w:szCs w:val="32"/>
          <w:lang w:val="en-US" w:eastAsia="zh-CN"/>
        </w:rPr>
        <w:t>教师数字素养</w:t>
      </w:r>
      <w:r>
        <w:rPr>
          <w:rFonts w:hint="eastAsia" w:ascii="仿宋" w:hAnsi="仿宋" w:eastAsia="仿宋" w:cs="仿宋"/>
          <w:sz w:val="32"/>
          <w:szCs w:val="32"/>
          <w:lang w:val="en-US" w:eastAsia="zh-CN"/>
        </w:rPr>
        <w:t>培训活动</w:t>
      </w:r>
      <w:r>
        <w:rPr>
          <w:rFonts w:hint="eastAsia" w:ascii="仿宋" w:hAnsi="仿宋" w:eastAsia="仿宋" w:cs="仿宋"/>
          <w:sz w:val="32"/>
          <w:szCs w:val="32"/>
        </w:rPr>
        <w:t>，开展教师数字素养专项能力培训，推动信息技术与学科课堂教学常态化深度融合。</w:t>
      </w:r>
    </w:p>
    <w:p w14:paraId="72841C3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0" w:name="heading_20"/>
      <w:r>
        <w:rPr>
          <w:rFonts w:hint="eastAsia" w:ascii="楷体" w:hAnsi="楷体" w:eastAsia="楷体" w:cs="楷体"/>
          <w:sz w:val="32"/>
          <w:szCs w:val="32"/>
        </w:rPr>
        <w:t>（七）抓实教育理论系统学习</w:t>
      </w:r>
      <w:bookmarkEnd w:id="20"/>
    </w:p>
    <w:p w14:paraId="6B2CFB4C">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根据各学科实际情况，由教研员为培养对象确定教育理论必读书目。培养对象要制定个人读书学习计划，读后要写出读书笔记或学习心得，培养周期内</w:t>
      </w:r>
      <w:r>
        <w:rPr>
          <w:rFonts w:hint="eastAsia" w:cs="仿宋"/>
          <w:sz w:val="32"/>
          <w:szCs w:val="32"/>
          <w:lang w:eastAsia="zh-CN"/>
        </w:rPr>
        <w:t>至少有一篇教育教学论文在县级及</w:t>
      </w:r>
      <w:r>
        <w:rPr>
          <w:rFonts w:hint="eastAsia" w:cs="仿宋"/>
          <w:sz w:val="32"/>
          <w:szCs w:val="32"/>
          <w:lang w:val="en-US" w:eastAsia="zh-CN"/>
        </w:rPr>
        <w:t>以上</w:t>
      </w:r>
      <w:r>
        <w:rPr>
          <w:rFonts w:hint="eastAsia" w:ascii="仿宋" w:hAnsi="仿宋" w:eastAsia="仿宋" w:cs="仿宋"/>
          <w:sz w:val="32"/>
          <w:szCs w:val="32"/>
        </w:rPr>
        <w:t>教育刊物上公开发表</w:t>
      </w:r>
      <w:r>
        <w:rPr>
          <w:rFonts w:hint="eastAsia" w:ascii="仿宋" w:hAnsi="仿宋" w:eastAsia="仿宋" w:cs="仿宋"/>
          <w:sz w:val="32"/>
          <w:szCs w:val="32"/>
          <w:lang w:val="en-US" w:eastAsia="zh-CN"/>
        </w:rPr>
        <w:t>或交流</w:t>
      </w:r>
      <w:r>
        <w:rPr>
          <w:rFonts w:hint="eastAsia" w:ascii="仿宋" w:hAnsi="仿宋" w:eastAsia="仿宋" w:cs="仿宋"/>
          <w:sz w:val="32"/>
          <w:szCs w:val="32"/>
        </w:rPr>
        <w:t>。</w:t>
      </w:r>
    </w:p>
    <w:p w14:paraId="75AB0588">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1" w:name="heading_21"/>
      <w:r>
        <w:rPr>
          <w:rFonts w:hint="eastAsia" w:ascii="楷体" w:hAnsi="楷体" w:eastAsia="楷体" w:cs="楷体"/>
          <w:sz w:val="32"/>
          <w:szCs w:val="32"/>
        </w:rPr>
        <w:t>（八）推动校本教研示范辐射</w:t>
      </w:r>
      <w:bookmarkEnd w:id="21"/>
    </w:p>
    <w:p w14:paraId="6513A8E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培养对象在任职学校，要经常采取个别辅导、执教示范课、开设专题讲座等多种方式，指导、培养青年教师，常态化向所在教研组教师开放课堂教学。每学期听评其他教师的课不少于20节。</w:t>
      </w:r>
      <w:r>
        <w:rPr>
          <w:rFonts w:hint="eastAsia" w:cs="仿宋"/>
          <w:sz w:val="32"/>
          <w:szCs w:val="32"/>
          <w:lang w:val="en-US" w:eastAsia="zh-CN"/>
        </w:rPr>
        <w:t>根据学校实际情况，</w:t>
      </w:r>
      <w:r>
        <w:rPr>
          <w:rFonts w:hint="eastAsia" w:ascii="仿宋" w:hAnsi="仿宋" w:eastAsia="仿宋" w:cs="仿宋"/>
          <w:sz w:val="32"/>
          <w:szCs w:val="32"/>
        </w:rPr>
        <w:t>需确定</w:t>
      </w:r>
      <w:r>
        <w:rPr>
          <w:rFonts w:hint="eastAsia" w:cs="仿宋"/>
          <w:sz w:val="32"/>
          <w:szCs w:val="32"/>
          <w:lang w:val="en-US" w:eastAsia="zh-CN"/>
        </w:rPr>
        <w:t>1至</w:t>
      </w:r>
      <w:r>
        <w:rPr>
          <w:rFonts w:hint="eastAsia" w:ascii="仿宋" w:hAnsi="仿宋" w:eastAsia="仿宋" w:cs="仿宋"/>
          <w:sz w:val="32"/>
          <w:szCs w:val="32"/>
        </w:rPr>
        <w:t>3名校级青年教师作为指导对象，并高质量完成指导任务。</w:t>
      </w:r>
    </w:p>
    <w:p w14:paraId="3084135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2" w:name="heading_22"/>
      <w:r>
        <w:rPr>
          <w:rFonts w:hint="eastAsia" w:ascii="楷体" w:hAnsi="楷体" w:eastAsia="楷体" w:cs="楷体"/>
          <w:sz w:val="32"/>
          <w:szCs w:val="32"/>
        </w:rPr>
        <w:t>（九）搭建成长平台扩大影响</w:t>
      </w:r>
      <w:bookmarkEnd w:id="22"/>
    </w:p>
    <w:p w14:paraId="4DF56AE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对成长迅速、表现优异的培养对象，教研员要积极为其搭建专业展示平台，主动向省、市教育部门推荐，支持其参加省、市</w:t>
      </w:r>
      <w:r>
        <w:rPr>
          <w:rFonts w:hint="eastAsia" w:cs="仿宋"/>
          <w:sz w:val="32"/>
          <w:szCs w:val="32"/>
          <w:lang w:eastAsia="zh-CN"/>
        </w:rPr>
        <w:t>、</w:t>
      </w:r>
      <w:r>
        <w:rPr>
          <w:rFonts w:hint="eastAsia" w:cs="仿宋"/>
          <w:sz w:val="32"/>
          <w:szCs w:val="32"/>
          <w:lang w:val="en-US" w:eastAsia="zh-CN"/>
        </w:rPr>
        <w:t>县</w:t>
      </w:r>
      <w:r>
        <w:rPr>
          <w:rFonts w:hint="eastAsia" w:ascii="仿宋" w:hAnsi="仿宋" w:eastAsia="仿宋" w:cs="仿宋"/>
          <w:sz w:val="32"/>
          <w:szCs w:val="32"/>
        </w:rPr>
        <w:t>举办的教学观摩</w:t>
      </w:r>
      <w:r>
        <w:rPr>
          <w:rFonts w:hint="eastAsia" w:ascii="仿宋" w:hAnsi="仿宋" w:eastAsia="仿宋" w:cs="仿宋"/>
          <w:sz w:val="32"/>
          <w:szCs w:val="32"/>
          <w:lang w:eastAsia="zh-CN"/>
        </w:rPr>
        <w:t>、</w:t>
      </w:r>
      <w:r>
        <w:rPr>
          <w:rFonts w:hint="eastAsia" w:ascii="仿宋" w:hAnsi="仿宋" w:eastAsia="仿宋" w:cs="仿宋"/>
          <w:sz w:val="32"/>
          <w:szCs w:val="32"/>
        </w:rPr>
        <w:t>教学竞赛</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研修培训</w:t>
      </w:r>
      <w:r>
        <w:rPr>
          <w:rFonts w:hint="eastAsia" w:ascii="仿宋" w:hAnsi="仿宋" w:eastAsia="仿宋" w:cs="仿宋"/>
          <w:sz w:val="32"/>
          <w:szCs w:val="32"/>
        </w:rPr>
        <w:t>，助力其教学才华脱颖而出，在省、市</w:t>
      </w:r>
      <w:r>
        <w:rPr>
          <w:rFonts w:hint="eastAsia" w:cs="仿宋"/>
          <w:sz w:val="32"/>
          <w:szCs w:val="32"/>
          <w:lang w:eastAsia="zh-CN"/>
        </w:rPr>
        <w:t>、</w:t>
      </w:r>
      <w:r>
        <w:rPr>
          <w:rFonts w:hint="eastAsia" w:cs="仿宋"/>
          <w:sz w:val="32"/>
          <w:szCs w:val="32"/>
          <w:lang w:val="en-US" w:eastAsia="zh-CN"/>
        </w:rPr>
        <w:t>县</w:t>
      </w:r>
      <w:r>
        <w:rPr>
          <w:rFonts w:hint="eastAsia" w:ascii="仿宋" w:hAnsi="仿宋" w:eastAsia="仿宋" w:cs="仿宋"/>
          <w:sz w:val="32"/>
          <w:szCs w:val="32"/>
        </w:rPr>
        <w:t>学科领域形成一定的知名度。</w:t>
      </w:r>
    </w:p>
    <w:p w14:paraId="7EFA633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3" w:name="heading_24"/>
      <w:r>
        <w:rPr>
          <w:rFonts w:hint="eastAsia" w:ascii="黑体" w:hAnsi="黑体" w:eastAsia="黑体" w:cs="黑体"/>
          <w:sz w:val="32"/>
          <w:szCs w:val="32"/>
        </w:rPr>
        <w:t>五、管理与考核机制</w:t>
      </w:r>
      <w:bookmarkEnd w:id="23"/>
    </w:p>
    <w:p w14:paraId="1499FEE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4" w:name="heading_25"/>
      <w:r>
        <w:rPr>
          <w:rFonts w:hint="eastAsia" w:ascii="楷体" w:hAnsi="楷体" w:eastAsia="楷体" w:cs="楷体"/>
          <w:sz w:val="32"/>
          <w:szCs w:val="32"/>
        </w:rPr>
        <w:t>（一）周期结业考核认定</w:t>
      </w:r>
      <w:bookmarkEnd w:id="24"/>
    </w:p>
    <w:p w14:paraId="500B9AD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本工程以3年为一个完整培养周期。培养周期结束后，由通榆县教育局、通榆县教师进修学校联合组建考核专家组，对照</w:t>
      </w:r>
      <w:r>
        <w:rPr>
          <w:rFonts w:hint="eastAsia" w:ascii="仿宋" w:hAnsi="仿宋" w:eastAsia="仿宋" w:cs="仿宋"/>
          <w:sz w:val="32"/>
          <w:szCs w:val="32"/>
          <w:lang w:val="en-US" w:eastAsia="zh-CN"/>
        </w:rPr>
        <w:t>考核标准</w:t>
      </w:r>
      <w:r>
        <w:rPr>
          <w:rFonts w:hint="eastAsia" w:ascii="仿宋" w:hAnsi="仿宋" w:eastAsia="仿宋" w:cs="仿宋"/>
          <w:sz w:val="32"/>
          <w:szCs w:val="32"/>
        </w:rPr>
        <w:t>对培养对象进行结业考核，综合认定是否达到县域学科教学名师标准。考核合格者，颁发“通榆县中小学学科教学名师”证书。</w:t>
      </w:r>
    </w:p>
    <w:p w14:paraId="2299D3A7">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5" w:name="heading_26"/>
      <w:r>
        <w:rPr>
          <w:rFonts w:hint="eastAsia" w:ascii="楷体" w:hAnsi="楷体" w:eastAsia="楷体" w:cs="楷体"/>
          <w:sz w:val="32"/>
          <w:szCs w:val="32"/>
        </w:rPr>
        <w:t>（二）日常管理与档案管理制度</w:t>
      </w:r>
      <w:bookmarkEnd w:id="25"/>
    </w:p>
    <w:p w14:paraId="7EC45DAF">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每学年结束后，</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要将培养对象的培养过程材料、学习成果、考核评价等相关材料，及时送交通榆县教师进修学校继续教育部统一归档管理。</w:t>
      </w:r>
    </w:p>
    <w:p w14:paraId="41CD847E">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楷体" w:hAnsi="楷体" w:eastAsia="楷体" w:cs="楷体"/>
          <w:sz w:val="32"/>
          <w:szCs w:val="32"/>
        </w:rPr>
      </w:pPr>
      <w:bookmarkStart w:id="26" w:name="heading_27"/>
      <w:r>
        <w:rPr>
          <w:rFonts w:hint="eastAsia" w:ascii="楷体" w:hAnsi="楷体" w:eastAsia="楷体" w:cs="楷体"/>
          <w:sz w:val="32"/>
          <w:szCs w:val="32"/>
        </w:rPr>
        <w:t>（三）年度履职考核与动态管理制度</w:t>
      </w:r>
      <w:bookmarkEnd w:id="26"/>
    </w:p>
    <w:p w14:paraId="29FB38F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建立</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与培养对象双主体年度履职考核制度。年度考核中，未按协议约定履行义务与责任，或因其他原因不宜继续参与本工程的</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、培养对象，经县名师培养工作领导小组审查核实后，取消其资格。对无故不参加培养活动的培养对象，</w:t>
      </w:r>
      <w:r>
        <w:rPr>
          <w:rFonts w:hint="eastAsia" w:ascii="仿宋" w:hAnsi="仿宋" w:eastAsia="仿宋" w:cs="仿宋"/>
          <w:sz w:val="32"/>
          <w:szCs w:val="32"/>
          <w:lang w:val="en-US" w:eastAsia="zh-CN"/>
        </w:rPr>
        <w:t>学科教研员</w:t>
      </w:r>
      <w:r>
        <w:rPr>
          <w:rFonts w:hint="eastAsia" w:ascii="仿宋" w:hAnsi="仿宋" w:eastAsia="仿宋" w:cs="仿宋"/>
          <w:sz w:val="32"/>
          <w:szCs w:val="32"/>
        </w:rPr>
        <w:t>可向县名师培养工作领导小组提出除名申请，经核实给予除名。</w:t>
      </w:r>
    </w:p>
    <w:p w14:paraId="22F7A93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7" w:name="heading_28"/>
      <w:r>
        <w:rPr>
          <w:rFonts w:hint="eastAsia" w:ascii="黑体" w:hAnsi="黑体" w:eastAsia="黑体" w:cs="黑体"/>
          <w:sz w:val="32"/>
          <w:szCs w:val="32"/>
        </w:rPr>
        <w:t>六、遴选认定程序</w:t>
      </w:r>
      <w:bookmarkEnd w:id="27"/>
    </w:p>
    <w:p w14:paraId="42F55403">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培养对象遴选工作按照个人申报、学校推荐、资格审核、综合审定的程序开展，具体如下：</w:t>
      </w:r>
    </w:p>
    <w:p w14:paraId="00FEE770">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个人申报：全县中小学、幼儿园在岗教师对照本方案规定的遴选条件，自愿向所在学校提交申报材料；</w:t>
      </w:r>
    </w:p>
    <w:p w14:paraId="01B1DF6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学校推荐：所在学校对申报教师的资质、业绩进行初审，择优向通榆县教师进修学校推荐；</w:t>
      </w:r>
    </w:p>
    <w:p w14:paraId="25736951">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资格审核：通榆县教师进修学校结合教研员推荐意见，对推荐人选进行资格复核与专业审核；</w:t>
      </w:r>
    </w:p>
    <w:p w14:paraId="4E6D6BCA">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综合审定：由县名师培养工作</w:t>
      </w:r>
      <w:r>
        <w:rPr>
          <w:rFonts w:hint="eastAsia" w:cs="仿宋"/>
          <w:sz w:val="32"/>
          <w:szCs w:val="32"/>
          <w:lang w:val="en-US" w:eastAsia="zh-CN"/>
        </w:rPr>
        <w:t>指导专班</w:t>
      </w:r>
      <w:r>
        <w:rPr>
          <w:rFonts w:hint="eastAsia" w:ascii="仿宋" w:hAnsi="仿宋" w:eastAsia="仿宋" w:cs="仿宋"/>
          <w:sz w:val="32"/>
          <w:szCs w:val="32"/>
        </w:rPr>
        <w:t>对通过审核的人选进行综合考察，最终确定本工程培养对象名单。</w:t>
      </w:r>
    </w:p>
    <w:p w14:paraId="4BFFDC7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已纳入本县本学科名师培养序列的教师，不再重复申报。</w:t>
      </w:r>
    </w:p>
    <w:p w14:paraId="711E6B4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黑体" w:hAnsi="黑体" w:eastAsia="黑体" w:cs="黑体"/>
          <w:sz w:val="32"/>
          <w:szCs w:val="32"/>
        </w:rPr>
      </w:pPr>
      <w:bookmarkStart w:id="28" w:name="heading_29"/>
      <w:r>
        <w:rPr>
          <w:rFonts w:hint="eastAsia" w:ascii="黑体" w:hAnsi="黑体" w:eastAsia="黑体" w:cs="黑体"/>
          <w:sz w:val="32"/>
          <w:szCs w:val="32"/>
        </w:rPr>
        <w:t>七、组织领导</w:t>
      </w:r>
      <w:bookmarkEnd w:id="28"/>
    </w:p>
    <w:p w14:paraId="2A7A390D">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lang w:eastAsia="zh-CN"/>
        </w:rPr>
      </w:pPr>
      <w:r>
        <w:rPr>
          <w:rFonts w:hint="eastAsia" w:ascii="仿宋" w:hAnsi="仿宋" w:eastAsia="仿宋" w:cs="仿宋"/>
          <w:sz w:val="32"/>
          <w:szCs w:val="32"/>
        </w:rPr>
        <w:t>为切实加强对本工程的组织领导与统筹管理，保障各项培养工作有序落地，成立通榆县“教研员帮带骨干教师、</w:t>
      </w:r>
      <w:r>
        <w:rPr>
          <w:rFonts w:hint="eastAsia" w:ascii="仿宋" w:hAnsi="仿宋" w:eastAsia="仿宋" w:cs="仿宋"/>
          <w:sz w:val="32"/>
          <w:szCs w:val="32"/>
          <w:lang w:eastAsia="zh-CN"/>
        </w:rPr>
        <w:t>培养</w:t>
      </w:r>
      <w:r>
        <w:rPr>
          <w:rFonts w:hint="eastAsia" w:ascii="仿宋" w:hAnsi="仿宋" w:eastAsia="仿宋" w:cs="仿宋"/>
          <w:sz w:val="32"/>
          <w:szCs w:val="32"/>
        </w:rPr>
        <w:t>名师工程”</w:t>
      </w:r>
      <w:r>
        <w:rPr>
          <w:rFonts w:hint="eastAsia" w:ascii="仿宋" w:hAnsi="仿宋" w:eastAsia="仿宋" w:cs="仿宋"/>
          <w:sz w:val="32"/>
          <w:szCs w:val="32"/>
          <w:highlight w:val="none"/>
        </w:rPr>
        <w:t>工作</w:t>
      </w:r>
      <w:r>
        <w:rPr>
          <w:rFonts w:hint="eastAsia" w:ascii="仿宋" w:hAnsi="仿宋" w:eastAsia="仿宋" w:cs="仿宋"/>
          <w:sz w:val="32"/>
          <w:szCs w:val="32"/>
          <w:highlight w:val="none"/>
          <w:lang w:val="en-US" w:eastAsia="zh-CN"/>
        </w:rPr>
        <w:t>指导专班</w:t>
      </w:r>
      <w:r>
        <w:rPr>
          <w:rFonts w:hint="eastAsia" w:cs="仿宋"/>
          <w:sz w:val="32"/>
          <w:szCs w:val="32"/>
          <w:highlight w:val="none"/>
          <w:lang w:val="en-US" w:eastAsia="zh-CN"/>
        </w:rPr>
        <w:t>。</w:t>
      </w:r>
    </w:p>
    <w:p w14:paraId="0EBB05F4">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r>
        <w:rPr>
          <w:rFonts w:hint="eastAsia" w:ascii="仿宋" w:hAnsi="仿宋" w:eastAsia="仿宋" w:cs="仿宋"/>
          <w:sz w:val="32"/>
          <w:szCs w:val="32"/>
        </w:rPr>
        <w:t>通榆县教师进修学校继续教育部，具体负责本工程的日常管理、过程督导、考核认定等统筹工作。</w:t>
      </w:r>
    </w:p>
    <w:p w14:paraId="1D2254B2">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eastAsia" w:ascii="仿宋" w:hAnsi="仿宋" w:eastAsia="仿宋" w:cs="仿宋"/>
          <w:sz w:val="32"/>
          <w:szCs w:val="32"/>
        </w:rPr>
      </w:pPr>
    </w:p>
    <w:p w14:paraId="4E2DD7D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left"/>
        <w:textAlignment w:val="auto"/>
        <w:rPr>
          <w:rFonts w:hint="eastAsia" w:cs="仿宋"/>
          <w:sz w:val="32"/>
          <w:szCs w:val="32"/>
          <w:lang w:val="en-US" w:eastAsia="zh-CN"/>
        </w:rPr>
      </w:pPr>
      <w:r>
        <w:rPr>
          <w:rFonts w:hint="eastAsia" w:cs="仿宋"/>
          <w:sz w:val="32"/>
          <w:szCs w:val="32"/>
          <w:lang w:val="en-US" w:eastAsia="zh-CN"/>
        </w:rPr>
        <w:t>附件：</w:t>
      </w:r>
    </w:p>
    <w:p w14:paraId="5803601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left"/>
        <w:textAlignment w:val="auto"/>
        <w:rPr>
          <w:rFonts w:hint="eastAsia" w:ascii="方正小标宋_GBK" w:hAnsi="方正小标宋_GBK" w:eastAsia="方正小标宋_GBK" w:cs="方正小标宋_GBK"/>
          <w:sz w:val="44"/>
          <w:szCs w:val="44"/>
          <w:lang w:val="en-US" w:eastAsia="zh-CN"/>
        </w:rPr>
      </w:pPr>
      <w:r>
        <w:rPr>
          <w:rFonts w:hint="eastAsia" w:cs="仿宋"/>
          <w:sz w:val="32"/>
          <w:szCs w:val="32"/>
          <w:lang w:val="en-US" w:eastAsia="zh-CN"/>
        </w:rPr>
        <w:t>1.</w:t>
      </w:r>
      <w:r>
        <w:rPr>
          <w:rFonts w:hint="eastAsia" w:ascii="仿宋_GB2312" w:hAnsi="仿宋_GB2312" w:eastAsia="仿宋_GB2312" w:cs="仿宋_GB2312"/>
          <w:b w:val="0"/>
          <w:bCs w:val="0"/>
          <w:sz w:val="32"/>
          <w:szCs w:val="32"/>
          <w:lang w:val="en-US" w:eastAsia="zh-CN"/>
        </w:rPr>
        <w:t>第五周期“教研员帮带骨干教师·培养名师工程”工作制度</w:t>
      </w:r>
    </w:p>
    <w:p w14:paraId="4077ACFB">
      <w:pPr>
        <w:spacing w:line="360" w:lineRule="auto"/>
        <w:ind w:firstLine="618" w:firstLineChars="200"/>
        <w:jc w:val="both"/>
        <w:rPr>
          <w:rFonts w:hint="eastAsia" w:ascii="方正小标宋_GBK" w:hAnsi="方正小标宋_GBK" w:eastAsia="方正小标宋_GBK" w:cs="方正小标宋_GBK"/>
          <w:b w:val="0"/>
          <w:bCs/>
          <w:sz w:val="44"/>
          <w:szCs w:val="44"/>
        </w:rPr>
      </w:pPr>
      <w:r>
        <w:rPr>
          <w:rFonts w:hint="eastAsia" w:cs="仿宋"/>
          <w:sz w:val="32"/>
          <w:szCs w:val="32"/>
          <w:lang w:val="en-US" w:eastAsia="zh-CN"/>
        </w:rPr>
        <w:t>2.</w:t>
      </w:r>
      <w:r>
        <w:rPr>
          <w:rFonts w:hint="eastAsia" w:ascii="仿宋_GB2312" w:hAnsi="仿宋_GB2312" w:eastAsia="仿宋_GB2312" w:cs="仿宋_GB2312"/>
          <w:b w:val="0"/>
          <w:bCs/>
          <w:sz w:val="32"/>
          <w:szCs w:val="32"/>
        </w:rPr>
        <w:t>培养名师协议书</w:t>
      </w:r>
    </w:p>
    <w:p w14:paraId="615643F1">
      <w:pPr>
        <w:keepNext w:val="0"/>
        <w:keepLines w:val="0"/>
        <w:pageBreakBefore w:val="0"/>
        <w:widowControl w:val="0"/>
        <w:kinsoku/>
        <w:wordWrap/>
        <w:overflowPunct/>
        <w:topLinePunct w:val="0"/>
        <w:autoSpaceDE/>
        <w:autoSpaceDN/>
        <w:bidi w:val="0"/>
        <w:adjustRightInd/>
        <w:snapToGrid/>
        <w:spacing w:line="578" w:lineRule="exact"/>
        <w:ind w:firstLine="618" w:firstLineChars="200"/>
        <w:textAlignment w:val="auto"/>
        <w:rPr>
          <w:rFonts w:hint="default" w:ascii="仿宋" w:hAnsi="仿宋" w:eastAsia="仿宋" w:cs="仿宋"/>
          <w:sz w:val="32"/>
          <w:szCs w:val="32"/>
          <w:lang w:val="en-US" w:eastAsia="zh-CN"/>
        </w:rPr>
      </w:pPr>
    </w:p>
    <w:p w14:paraId="66BF4D72">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r>
        <w:rPr>
          <w:rFonts w:hint="eastAsia" w:cs="仿宋"/>
          <w:sz w:val="32"/>
          <w:szCs w:val="32"/>
          <w:lang w:val="en-US" w:eastAsia="zh-CN"/>
        </w:rPr>
        <w:t xml:space="preserve">                                 </w:t>
      </w:r>
    </w:p>
    <w:p w14:paraId="755B6304">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2712C2F7">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1B50465B">
      <w:pPr>
        <w:keepNext w:val="0"/>
        <w:keepLines w:val="0"/>
        <w:pageBreakBefore w:val="0"/>
        <w:widowControl w:val="0"/>
        <w:kinsoku/>
        <w:wordWrap/>
        <w:overflowPunct/>
        <w:topLinePunct w:val="0"/>
        <w:autoSpaceDE/>
        <w:autoSpaceDN/>
        <w:bidi w:val="0"/>
        <w:adjustRightInd/>
        <w:snapToGrid/>
        <w:spacing w:line="578" w:lineRule="exact"/>
        <w:ind w:firstLine="618" w:firstLineChars="200"/>
        <w:jc w:val="right"/>
        <w:textAlignment w:val="auto"/>
        <w:rPr>
          <w:rFonts w:hint="eastAsia" w:cs="仿宋"/>
          <w:sz w:val="32"/>
          <w:szCs w:val="32"/>
          <w:lang w:val="en-US" w:eastAsia="zh-CN"/>
        </w:rPr>
      </w:pPr>
    </w:p>
    <w:p w14:paraId="4E85C852">
      <w:pPr>
        <w:jc w:val="left"/>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附件1</w:t>
      </w:r>
    </w:p>
    <w:p w14:paraId="54C741A6">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第五周期“教研员帮带骨干教师·培养名师</w:t>
      </w:r>
    </w:p>
    <w:p w14:paraId="5BC28D24">
      <w:pPr>
        <w:keepNext w:val="0"/>
        <w:keepLines w:val="0"/>
        <w:pageBreakBefore w:val="0"/>
        <w:widowControl w:val="0"/>
        <w:kinsoku/>
        <w:wordWrap/>
        <w:overflowPunct/>
        <w:topLinePunct w:val="0"/>
        <w:autoSpaceDE/>
        <w:autoSpaceDN/>
        <w:bidi w:val="0"/>
        <w:adjustRightInd/>
        <w:snapToGrid/>
        <w:spacing w:line="578"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工程”工作制度</w:t>
      </w:r>
    </w:p>
    <w:p w14:paraId="3C0F689B">
      <w:pPr>
        <w:keepNext w:val="0"/>
        <w:keepLines w:val="0"/>
        <w:pageBreakBefore w:val="0"/>
        <w:widowControl w:val="0"/>
        <w:kinsoku/>
        <w:wordWrap/>
        <w:overflowPunct/>
        <w:topLinePunct w:val="0"/>
        <w:autoSpaceDE/>
        <w:autoSpaceDN/>
        <w:bidi w:val="0"/>
        <w:adjustRightInd/>
        <w:snapToGrid/>
        <w:spacing w:before="300" w:after="120" w:line="240" w:lineRule="auto"/>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第一条 目的与依据</w:t>
      </w:r>
    </w:p>
    <w:p w14:paraId="517A772F">
      <w:pPr>
        <w:keepNext w:val="0"/>
        <w:keepLines w:val="0"/>
        <w:pageBreakBefore w:val="0"/>
        <w:widowControl w:val="0"/>
        <w:kinsoku/>
        <w:wordWrap/>
        <w:overflowPunct/>
        <w:topLinePunct w:val="0"/>
        <w:autoSpaceDE/>
        <w:autoSpaceDN/>
        <w:bidi w:val="0"/>
        <w:adjustRightInd/>
        <w:snapToGrid/>
        <w:spacing w:before="120" w:after="120" w:line="240" w:lineRule="auto"/>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为深化教师队伍建设，强化专业引领，构建教研员精准帮带、骨干教师梯次成长、名师示范辐射的培养体系，全面提升我县教师专业素养、教育教学与科研能力，特制定本制度。</w:t>
      </w:r>
    </w:p>
    <w:p w14:paraId="79D73B5A">
      <w:pPr>
        <w:keepNext w:val="0"/>
        <w:keepLines w:val="0"/>
        <w:pageBreakBefore w:val="0"/>
        <w:widowControl w:val="0"/>
        <w:kinsoku/>
        <w:wordWrap/>
        <w:overflowPunct/>
        <w:topLinePunct w:val="0"/>
        <w:autoSpaceDE/>
        <w:autoSpaceDN/>
        <w:bidi w:val="0"/>
        <w:adjustRightInd/>
        <w:snapToGrid/>
        <w:spacing w:before="300" w:after="120" w:line="240" w:lineRule="auto"/>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第二条 培养周期</w:t>
      </w:r>
    </w:p>
    <w:p w14:paraId="62B5C4A2">
      <w:pPr>
        <w:keepNext w:val="0"/>
        <w:keepLines w:val="0"/>
        <w:pageBreakBefore w:val="0"/>
        <w:widowControl w:val="0"/>
        <w:kinsoku/>
        <w:wordWrap/>
        <w:overflowPunct/>
        <w:topLinePunct w:val="0"/>
        <w:autoSpaceDE/>
        <w:autoSpaceDN/>
        <w:bidi w:val="0"/>
        <w:adjustRightInd/>
        <w:snapToGrid/>
        <w:spacing w:before="120" w:after="120" w:line="240" w:lineRule="auto"/>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本工程实行三年一周期管理，周期内全程跟踪、过程考核、期满认定。</w:t>
      </w:r>
    </w:p>
    <w:p w14:paraId="46BB7CCF">
      <w:pPr>
        <w:keepNext w:val="0"/>
        <w:keepLines w:val="0"/>
        <w:pageBreakBefore w:val="0"/>
        <w:widowControl w:val="0"/>
        <w:kinsoku/>
        <w:wordWrap/>
        <w:overflowPunct/>
        <w:topLinePunct w:val="0"/>
        <w:autoSpaceDE/>
        <w:autoSpaceDN/>
        <w:bidi w:val="0"/>
        <w:adjustRightInd/>
        <w:snapToGrid/>
        <w:spacing w:before="320" w:after="120" w:line="240" w:lineRule="auto"/>
        <w:ind w:left="0" w:firstLine="618" w:firstLineChars="200"/>
        <w:jc w:val="left"/>
        <w:textAlignment w:val="auto"/>
        <w:outlineLvl w:val="1"/>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三条</w:t>
      </w:r>
      <w:r>
        <w:rPr>
          <w:rFonts w:hint="eastAsia" w:ascii="仿宋" w:hAnsi="仿宋" w:eastAsia="仿宋" w:cs="仿宋"/>
          <w:b w:val="0"/>
          <w:bCs/>
          <w:sz w:val="32"/>
          <w:szCs w:val="32"/>
        </w:rPr>
        <w:t xml:space="preserve"> 教研员职责</w:t>
      </w:r>
    </w:p>
    <w:p w14:paraId="26C86B40">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rPr>
      </w:pPr>
      <w:r>
        <w:rPr>
          <w:rFonts w:hint="eastAsia" w:ascii="黑体" w:hAnsi="黑体" w:eastAsia="黑体" w:cs="黑体"/>
          <w:b w:val="0"/>
          <w:bCs/>
          <w:sz w:val="32"/>
          <w:szCs w:val="32"/>
          <w:lang w:val="en-US" w:eastAsia="zh-CN"/>
        </w:rPr>
        <w:t>一、</w:t>
      </w:r>
      <w:r>
        <w:rPr>
          <w:rFonts w:hint="eastAsia" w:ascii="黑体" w:hAnsi="黑体" w:eastAsia="黑体" w:cs="黑体"/>
          <w:b w:val="0"/>
          <w:bCs/>
          <w:sz w:val="32"/>
          <w:szCs w:val="32"/>
        </w:rPr>
        <w:t>规划引领</w:t>
      </w:r>
    </w:p>
    <w:p w14:paraId="28EAC73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结合带培对象基础与发展需求，制定三年带培总体规划，明确目标、任务、评价标准。</w:t>
      </w:r>
    </w:p>
    <w:p w14:paraId="005D3C4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二、课题指导</w:t>
      </w:r>
    </w:p>
    <w:p w14:paraId="12107142">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指导带培对象立项、研究、实践与成果提炼，全程参与课题研讨与结题指导。</w:t>
      </w:r>
    </w:p>
    <w:p w14:paraId="7FCF548F">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三、课堂赋能</w:t>
      </w:r>
    </w:p>
    <w:p w14:paraId="223863B5">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每学期听评课不少于4节（线上+线下），坚持“听—评—议—改”闭环指导，助力课堂提质。</w:t>
      </w:r>
    </w:p>
    <w:p w14:paraId="08180F4D">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四、实践组织</w:t>
      </w:r>
    </w:p>
    <w:p w14:paraId="5847D8E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rPr>
        <w:t>组织1次名校考察学习；</w:t>
      </w:r>
    </w:p>
    <w:p w14:paraId="78BD229A">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每学年组织1次课堂教学会诊，指导形成课堂教学诊断分析报告；</w:t>
      </w:r>
    </w:p>
    <w:p w14:paraId="3E1DAAE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highlight w:val="none"/>
        </w:rPr>
      </w:pPr>
      <w:r>
        <w:rPr>
          <w:rFonts w:hint="eastAsia" w:ascii="仿宋" w:hAnsi="仿宋" w:eastAsia="仿宋" w:cs="仿宋"/>
          <w:b w:val="0"/>
          <w:bCs/>
          <w:sz w:val="32"/>
          <w:szCs w:val="32"/>
          <w:highlight w:val="none"/>
          <w:lang w:val="en-US" w:eastAsia="zh-CN"/>
        </w:rPr>
        <w:t>3.</w:t>
      </w:r>
      <w:r>
        <w:rPr>
          <w:rFonts w:hint="eastAsia" w:ascii="仿宋" w:hAnsi="仿宋" w:eastAsia="仿宋" w:cs="仿宋"/>
          <w:b w:val="0"/>
          <w:bCs/>
          <w:sz w:val="32"/>
          <w:szCs w:val="32"/>
          <w:highlight w:val="none"/>
        </w:rPr>
        <w:t>每学年组织1次汇报研讨；</w:t>
      </w:r>
    </w:p>
    <w:p w14:paraId="17F5459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lang w:val="en-US" w:eastAsia="zh-CN"/>
        </w:rPr>
      </w:pPr>
      <w:r>
        <w:rPr>
          <w:rFonts w:hint="eastAsia" w:ascii="仿宋" w:hAnsi="仿宋" w:eastAsia="仿宋" w:cs="仿宋"/>
          <w:b w:val="0"/>
          <w:bCs/>
          <w:sz w:val="32"/>
          <w:szCs w:val="32"/>
          <w:lang w:val="en-US" w:eastAsia="zh-CN"/>
        </w:rPr>
        <w:t>4.</w:t>
      </w:r>
      <w:r>
        <w:rPr>
          <w:rFonts w:hint="eastAsia" w:ascii="仿宋" w:hAnsi="仿宋" w:eastAsia="仿宋" w:cs="仿宋"/>
          <w:b w:val="0"/>
          <w:bCs/>
          <w:sz w:val="32"/>
          <w:szCs w:val="32"/>
        </w:rPr>
        <w:t>理论提升：每学年为带培对象指定</w:t>
      </w:r>
      <w:r>
        <w:rPr>
          <w:rFonts w:hint="eastAsia" w:ascii="仿宋" w:hAnsi="仿宋" w:eastAsia="仿宋" w:cs="仿宋"/>
          <w:b w:val="0"/>
          <w:bCs/>
          <w:sz w:val="32"/>
          <w:szCs w:val="32"/>
          <w:highlight w:val="none"/>
        </w:rPr>
        <w:t>1</w:t>
      </w:r>
      <w:r>
        <w:rPr>
          <w:rFonts w:hint="eastAsia" w:ascii="仿宋" w:hAnsi="仿宋" w:eastAsia="仿宋" w:cs="仿宋"/>
          <w:b w:val="0"/>
          <w:bCs/>
          <w:sz w:val="32"/>
          <w:szCs w:val="32"/>
          <w:highlight w:val="none"/>
          <w:lang w:val="en-US" w:eastAsia="zh-CN"/>
        </w:rPr>
        <w:t>本</w:t>
      </w:r>
      <w:r>
        <w:rPr>
          <w:rFonts w:hint="eastAsia" w:ascii="仿宋" w:hAnsi="仿宋" w:eastAsia="仿宋" w:cs="仿宋"/>
          <w:b w:val="0"/>
          <w:bCs/>
          <w:sz w:val="32"/>
          <w:szCs w:val="32"/>
          <w:highlight w:val="none"/>
        </w:rPr>
        <w:t>专业理论必读书目</w:t>
      </w:r>
      <w:r>
        <w:rPr>
          <w:rFonts w:hint="eastAsia" w:ascii="仿宋" w:hAnsi="仿宋" w:eastAsia="仿宋" w:cs="仿宋"/>
          <w:b w:val="0"/>
          <w:bCs/>
          <w:sz w:val="32"/>
          <w:szCs w:val="32"/>
        </w:rPr>
        <w:t>，指导阅读、交流与成果转化。</w:t>
      </w:r>
    </w:p>
    <w:p w14:paraId="641B539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5.</w:t>
      </w:r>
      <w:r>
        <w:rPr>
          <w:rFonts w:hint="eastAsia" w:ascii="仿宋" w:hAnsi="仿宋" w:eastAsia="仿宋" w:cs="仿宋"/>
          <w:b w:val="0"/>
          <w:bCs/>
          <w:sz w:val="32"/>
          <w:szCs w:val="32"/>
        </w:rPr>
        <w:t>平台搭建：优先推荐带培对象参与各级竞赛、评比、展示、培训与学术交流活动，助力成果输出与荣誉积累。</w:t>
      </w:r>
    </w:p>
    <w:p w14:paraId="17733A01">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leftChars="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6.</w:t>
      </w:r>
      <w:r>
        <w:rPr>
          <w:rFonts w:hint="eastAsia" w:ascii="仿宋" w:hAnsi="仿宋" w:eastAsia="仿宋" w:cs="仿宋"/>
          <w:b w:val="0"/>
          <w:bCs/>
          <w:sz w:val="32"/>
          <w:szCs w:val="32"/>
        </w:rPr>
        <w:t>周期总结：三年培养结束，撰写带培工作总结，梳理成效、问题与改进建议。</w:t>
      </w:r>
    </w:p>
    <w:p w14:paraId="06C8A9C5">
      <w:pPr>
        <w:keepNext w:val="0"/>
        <w:keepLines w:val="0"/>
        <w:pageBreakBefore w:val="0"/>
        <w:widowControl w:val="0"/>
        <w:kinsoku/>
        <w:wordWrap/>
        <w:overflowPunct/>
        <w:topLinePunct w:val="0"/>
        <w:autoSpaceDE/>
        <w:autoSpaceDN/>
        <w:bidi w:val="0"/>
        <w:adjustRightInd/>
        <w:snapToGrid/>
        <w:spacing w:before="320" w:after="120" w:line="578" w:lineRule="exact"/>
        <w:ind w:left="0" w:firstLine="618" w:firstLineChars="200"/>
        <w:jc w:val="left"/>
        <w:textAlignment w:val="auto"/>
        <w:outlineLvl w:val="1"/>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四条</w:t>
      </w:r>
      <w:r>
        <w:rPr>
          <w:rFonts w:hint="eastAsia" w:ascii="仿宋" w:hAnsi="仿宋" w:eastAsia="仿宋" w:cs="仿宋"/>
          <w:b w:val="0"/>
          <w:bCs/>
          <w:sz w:val="32"/>
          <w:szCs w:val="32"/>
        </w:rPr>
        <w:t xml:space="preserve"> 带培对象职责</w:t>
      </w:r>
    </w:p>
    <w:p w14:paraId="5A6B9BF3">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一、自主规划</w:t>
      </w:r>
    </w:p>
    <w:p w14:paraId="1721FA02">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制定个人三年名师成长规划与年度计划，明确发展目标、任务与成果指标。</w:t>
      </w:r>
    </w:p>
    <w:p w14:paraId="7268C0E1">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二、课题研究</w:t>
      </w:r>
    </w:p>
    <w:p w14:paraId="6B5FC7E3">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主动参与课题研究，完成研究任务，形成研究课例、论文、报告等成果。</w:t>
      </w:r>
    </w:p>
    <w:p w14:paraId="6BF4138C">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三、示范引领</w:t>
      </w:r>
    </w:p>
    <w:p w14:paraId="3F087368">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1.</w:t>
      </w:r>
      <w:r>
        <w:rPr>
          <w:rFonts w:hint="eastAsia" w:ascii="仿宋" w:hAnsi="仿宋" w:eastAsia="仿宋" w:cs="仿宋"/>
          <w:b w:val="0"/>
          <w:bCs/>
          <w:sz w:val="32"/>
          <w:szCs w:val="32"/>
        </w:rPr>
        <w:t>每</w:t>
      </w:r>
      <w:r>
        <w:rPr>
          <w:rFonts w:hint="eastAsia" w:ascii="仿宋" w:hAnsi="仿宋" w:eastAsia="仿宋" w:cs="仿宋"/>
          <w:b w:val="0"/>
          <w:bCs/>
          <w:sz w:val="32"/>
          <w:szCs w:val="32"/>
          <w:lang w:val="en-US" w:eastAsia="zh-CN"/>
        </w:rPr>
        <w:t>学期</w:t>
      </w:r>
      <w:r>
        <w:rPr>
          <w:rFonts w:hint="eastAsia" w:ascii="仿宋" w:hAnsi="仿宋" w:eastAsia="仿宋" w:cs="仿宋"/>
          <w:b w:val="0"/>
          <w:bCs/>
          <w:sz w:val="32"/>
          <w:szCs w:val="32"/>
        </w:rPr>
        <w:t>校内听课不少于</w:t>
      </w: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0节，发挥示范、引领、帮扶作用；</w:t>
      </w:r>
    </w:p>
    <w:p w14:paraId="4F248D09">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lang w:val="en-US" w:eastAsia="zh-CN"/>
        </w:rPr>
        <w:t>2.</w:t>
      </w:r>
      <w:r>
        <w:rPr>
          <w:rFonts w:hint="eastAsia" w:ascii="仿宋" w:hAnsi="仿宋" w:eastAsia="仿宋" w:cs="仿宋"/>
          <w:b w:val="0"/>
          <w:bCs/>
          <w:sz w:val="32"/>
          <w:szCs w:val="32"/>
        </w:rPr>
        <w:t>每学年参与1次课堂教学会诊，独立完成课堂教学诊断分析报告。</w:t>
      </w:r>
    </w:p>
    <w:p w14:paraId="2EF2104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四、实践参与</w:t>
      </w:r>
    </w:p>
    <w:p w14:paraId="78D8D8E5">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全程参加教研员组织的考察、研讨、送教等活动，主动分享、学以致用。</w:t>
      </w:r>
    </w:p>
    <w:p w14:paraId="17E8240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五、理论研修</w:t>
      </w:r>
    </w:p>
    <w:p w14:paraId="0EEF3F5D">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完成指定书目阅读，制定读书计划，撰写读书笔记与心得；三年周期内</w:t>
      </w:r>
      <w:r>
        <w:rPr>
          <w:rFonts w:hint="eastAsia" w:ascii="仿宋" w:hAnsi="仿宋" w:eastAsia="仿宋" w:cs="仿宋"/>
          <w:b w:val="0"/>
          <w:bCs/>
          <w:sz w:val="32"/>
          <w:szCs w:val="32"/>
          <w:lang w:eastAsia="zh-CN"/>
        </w:rPr>
        <w:t>至少1篇论文在县级及</w:t>
      </w:r>
      <w:r>
        <w:rPr>
          <w:rFonts w:hint="eastAsia" w:ascii="仿宋" w:hAnsi="仿宋" w:eastAsia="仿宋" w:cs="仿宋"/>
          <w:b w:val="0"/>
          <w:bCs/>
          <w:sz w:val="32"/>
          <w:szCs w:val="32"/>
          <w:lang w:val="en-US" w:eastAsia="zh-CN"/>
        </w:rPr>
        <w:t>以上教育</w:t>
      </w:r>
      <w:r>
        <w:rPr>
          <w:rFonts w:hint="eastAsia" w:ascii="仿宋" w:hAnsi="仿宋" w:eastAsia="仿宋" w:cs="仿宋"/>
          <w:b w:val="0"/>
          <w:bCs/>
          <w:sz w:val="32"/>
          <w:szCs w:val="32"/>
        </w:rPr>
        <w:t>刊物发表或交流。</w:t>
      </w:r>
    </w:p>
    <w:p w14:paraId="2988DE24">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六、培训竞赛</w:t>
      </w:r>
    </w:p>
    <w:p w14:paraId="5D6F7FB7">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积极参加各级学科培训、国培省培、数字素养提升等项目，主动参与教学竞赛与评比。</w:t>
      </w:r>
    </w:p>
    <w:p w14:paraId="6AC0236E">
      <w:pPr>
        <w:keepNext w:val="0"/>
        <w:keepLines w:val="0"/>
        <w:pageBreakBefore w:val="0"/>
        <w:widowControl w:val="0"/>
        <w:numPr>
          <w:ilvl w:val="0"/>
          <w:numId w:val="0"/>
        </w:numPr>
        <w:kinsoku/>
        <w:wordWrap/>
        <w:overflowPunct/>
        <w:topLinePunct w:val="0"/>
        <w:autoSpaceDE/>
        <w:autoSpaceDN/>
        <w:bidi w:val="0"/>
        <w:adjustRightInd/>
        <w:snapToGrid/>
        <w:spacing w:before="120" w:after="120" w:line="578" w:lineRule="exact"/>
        <w:ind w:firstLine="618" w:firstLineChars="200"/>
        <w:jc w:val="lef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七、总结归档</w:t>
      </w:r>
    </w:p>
    <w:p w14:paraId="4E60BF18">
      <w:pPr>
        <w:keepNext w:val="0"/>
        <w:keepLines w:val="0"/>
        <w:pageBreakBefore w:val="0"/>
        <w:widowControl w:val="0"/>
        <w:numPr>
          <w:ilvl w:val="0"/>
          <w:numId w:val="0"/>
        </w:numPr>
        <w:kinsoku/>
        <w:wordWrap/>
        <w:overflowPunct/>
        <w:topLinePunct w:val="0"/>
        <w:autoSpaceDE/>
        <w:autoSpaceDN/>
        <w:bidi w:val="0"/>
        <w:adjustRightInd/>
        <w:snapToGrid/>
        <w:spacing w:line="578" w:lineRule="exact"/>
        <w:ind w:leftChars="0" w:firstLine="618" w:firstLineChars="200"/>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每学年撰写个人年度总结，三年周期结束提交三年培养总结，完整留存过程材料。</w:t>
      </w:r>
    </w:p>
    <w:p w14:paraId="05085128">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五条</w:t>
      </w:r>
      <w:r>
        <w:rPr>
          <w:rFonts w:hint="eastAsia" w:ascii="仿宋" w:hAnsi="仿宋" w:eastAsia="仿宋" w:cs="仿宋"/>
          <w:b w:val="0"/>
          <w:bCs/>
          <w:sz w:val="32"/>
          <w:szCs w:val="32"/>
        </w:rPr>
        <w:t xml:space="preserve"> 管理机构</w:t>
      </w:r>
    </w:p>
    <w:p w14:paraId="385EA1E5">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教师进修学校继续教育部为日常管理机构，负责统筹协调、过程监管、材料审核、档案归集与考核组织。</w:t>
      </w:r>
    </w:p>
    <w:p w14:paraId="5D3012F5">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六条</w:t>
      </w:r>
      <w:r>
        <w:rPr>
          <w:rFonts w:hint="eastAsia" w:ascii="仿宋" w:hAnsi="仿宋" w:eastAsia="仿宋" w:cs="仿宋"/>
          <w:b w:val="0"/>
          <w:bCs/>
          <w:sz w:val="32"/>
          <w:szCs w:val="32"/>
        </w:rPr>
        <w:t xml:space="preserve"> 材料管理</w:t>
      </w:r>
    </w:p>
    <w:p w14:paraId="000B3734">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带培期间所有计划、听课记录、评课纪要、课题材料、读书心得、论文、证书、总结等</w:t>
      </w:r>
      <w:r>
        <w:rPr>
          <w:rFonts w:hint="eastAsia" w:ascii="仿宋" w:hAnsi="仿宋" w:eastAsia="仿宋" w:cs="仿宋"/>
          <w:b w:val="0"/>
          <w:bCs/>
          <w:sz w:val="32"/>
          <w:szCs w:val="32"/>
          <w:lang w:val="en-US" w:eastAsia="zh-CN"/>
        </w:rPr>
        <w:t>相关资料</w:t>
      </w:r>
      <w:r>
        <w:rPr>
          <w:rFonts w:hint="eastAsia" w:ascii="仿宋" w:hAnsi="仿宋" w:eastAsia="仿宋" w:cs="仿宋"/>
          <w:b w:val="0"/>
          <w:bCs/>
          <w:sz w:val="32"/>
          <w:szCs w:val="32"/>
        </w:rPr>
        <w:t>，由继续教育部统一规范存档。</w:t>
      </w:r>
    </w:p>
    <w:p w14:paraId="0D4D1F9C">
      <w:pPr>
        <w:keepNext w:val="0"/>
        <w:keepLines w:val="0"/>
        <w:pageBreakBefore w:val="0"/>
        <w:widowControl w:val="0"/>
        <w:kinsoku/>
        <w:wordWrap/>
        <w:overflowPunct/>
        <w:topLinePunct w:val="0"/>
        <w:autoSpaceDE/>
        <w:autoSpaceDN/>
        <w:bidi w:val="0"/>
        <w:adjustRightInd/>
        <w:snapToGrid/>
        <w:spacing w:before="300" w:after="120" w:line="578" w:lineRule="exact"/>
        <w:ind w:left="0" w:firstLine="618" w:firstLineChars="200"/>
        <w:jc w:val="left"/>
        <w:textAlignment w:val="auto"/>
        <w:outlineLvl w:val="2"/>
        <w:rPr>
          <w:rFonts w:hint="eastAsia" w:ascii="仿宋" w:hAnsi="仿宋" w:eastAsia="仿宋" w:cs="仿宋"/>
          <w:b w:val="0"/>
          <w:bCs/>
          <w:sz w:val="32"/>
          <w:szCs w:val="32"/>
        </w:rPr>
      </w:pPr>
      <w:r>
        <w:rPr>
          <w:rFonts w:hint="eastAsia" w:ascii="仿宋" w:hAnsi="仿宋" w:eastAsia="仿宋" w:cs="仿宋"/>
          <w:b w:val="0"/>
          <w:bCs/>
          <w:sz w:val="32"/>
          <w:szCs w:val="32"/>
        </w:rPr>
        <w:t>第</w:t>
      </w:r>
      <w:r>
        <w:rPr>
          <w:rFonts w:hint="eastAsia" w:ascii="仿宋" w:hAnsi="仿宋" w:eastAsia="仿宋" w:cs="仿宋"/>
          <w:b w:val="0"/>
          <w:bCs/>
          <w:sz w:val="32"/>
          <w:szCs w:val="32"/>
          <w:lang w:val="en-US" w:eastAsia="zh-CN"/>
        </w:rPr>
        <w:t>七</w:t>
      </w:r>
      <w:r>
        <w:rPr>
          <w:rFonts w:hint="eastAsia" w:ascii="仿宋" w:hAnsi="仿宋" w:eastAsia="仿宋" w:cs="仿宋"/>
          <w:b w:val="0"/>
          <w:bCs/>
          <w:sz w:val="32"/>
          <w:szCs w:val="32"/>
        </w:rPr>
        <w:t>条 考核方式</w:t>
      </w:r>
    </w:p>
    <w:p w14:paraId="2C9981C4">
      <w:pPr>
        <w:keepNext w:val="0"/>
        <w:keepLines w:val="0"/>
        <w:pageBreakBefore w:val="0"/>
        <w:widowControl w:val="0"/>
        <w:kinsoku/>
        <w:wordWrap/>
        <w:overflowPunct/>
        <w:topLinePunct w:val="0"/>
        <w:autoSpaceDE/>
        <w:autoSpaceDN/>
        <w:bidi w:val="0"/>
        <w:adjustRightInd/>
        <w:snapToGrid/>
        <w:spacing w:before="120" w:after="120" w:line="578" w:lineRule="exact"/>
        <w:ind w:left="0" w:firstLine="618" w:firstLineChars="200"/>
        <w:jc w:val="left"/>
        <w:textAlignment w:val="auto"/>
        <w:rPr>
          <w:rFonts w:hint="eastAsia" w:ascii="仿宋" w:hAnsi="仿宋" w:eastAsia="仿宋" w:cs="仿宋"/>
          <w:b w:val="0"/>
          <w:bCs/>
          <w:sz w:val="32"/>
          <w:szCs w:val="32"/>
        </w:rPr>
      </w:pPr>
      <w:r>
        <w:rPr>
          <w:rFonts w:hint="eastAsia" w:ascii="仿宋" w:hAnsi="仿宋" w:eastAsia="仿宋" w:cs="仿宋"/>
          <w:b w:val="0"/>
          <w:bCs/>
          <w:sz w:val="32"/>
          <w:szCs w:val="32"/>
        </w:rPr>
        <w:t>实行过程考核+年度考核+期满综合考核相结合，考核结果作为名师认定的重要依据。</w:t>
      </w:r>
    </w:p>
    <w:p w14:paraId="71292A07">
      <w:pPr>
        <w:spacing w:line="360" w:lineRule="auto"/>
        <w:jc w:val="both"/>
        <w:rPr>
          <w:rFonts w:hint="eastAsia"/>
          <w:b/>
          <w:sz w:val="44"/>
          <w:szCs w:val="44"/>
        </w:rPr>
      </w:pPr>
    </w:p>
    <w:p w14:paraId="69FEA6D7">
      <w:pPr>
        <w:spacing w:line="360" w:lineRule="auto"/>
        <w:jc w:val="both"/>
        <w:rPr>
          <w:rFonts w:hint="eastAsia"/>
          <w:b/>
          <w:sz w:val="44"/>
          <w:szCs w:val="44"/>
        </w:rPr>
      </w:pPr>
    </w:p>
    <w:p w14:paraId="56E96F28">
      <w:pPr>
        <w:spacing w:line="360" w:lineRule="auto"/>
        <w:jc w:val="both"/>
        <w:rPr>
          <w:rFonts w:hint="eastAsia"/>
          <w:b/>
          <w:sz w:val="44"/>
          <w:szCs w:val="44"/>
        </w:rPr>
      </w:pPr>
    </w:p>
    <w:p w14:paraId="53F96EA4">
      <w:pPr>
        <w:spacing w:line="360" w:lineRule="auto"/>
        <w:jc w:val="both"/>
        <w:rPr>
          <w:rFonts w:hint="eastAsia"/>
          <w:b/>
          <w:sz w:val="44"/>
          <w:szCs w:val="44"/>
        </w:rPr>
      </w:pPr>
    </w:p>
    <w:p w14:paraId="28FBCA33">
      <w:pPr>
        <w:spacing w:line="360" w:lineRule="auto"/>
        <w:jc w:val="both"/>
        <w:rPr>
          <w:rFonts w:hint="eastAsia"/>
          <w:b/>
          <w:sz w:val="44"/>
          <w:szCs w:val="44"/>
        </w:rPr>
      </w:pPr>
    </w:p>
    <w:p w14:paraId="0935587E">
      <w:pPr>
        <w:spacing w:line="360" w:lineRule="auto"/>
        <w:jc w:val="both"/>
        <w:rPr>
          <w:rFonts w:hint="eastAsia"/>
          <w:b/>
          <w:sz w:val="44"/>
          <w:szCs w:val="44"/>
        </w:rPr>
      </w:pPr>
    </w:p>
    <w:p w14:paraId="4BD54459">
      <w:pPr>
        <w:spacing w:line="360" w:lineRule="auto"/>
        <w:jc w:val="both"/>
        <w:rPr>
          <w:rFonts w:hint="eastAsia" w:ascii="黑体" w:hAnsi="黑体" w:eastAsia="黑体" w:cs="黑体"/>
          <w:b w:val="0"/>
          <w:bCs/>
          <w:sz w:val="32"/>
          <w:szCs w:val="32"/>
          <w:lang w:val="en-US" w:eastAsia="zh-CN"/>
        </w:rPr>
      </w:pPr>
    </w:p>
    <w:p w14:paraId="7E6B802A">
      <w:pPr>
        <w:spacing w:line="360" w:lineRule="auto"/>
        <w:jc w:val="both"/>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附件2</w:t>
      </w:r>
    </w:p>
    <w:p w14:paraId="011B3FFC">
      <w:pPr>
        <w:spacing w:line="360" w:lineRule="auto"/>
        <w:ind w:firstLine="858" w:firstLineChars="200"/>
        <w:jc w:val="center"/>
        <w:rPr>
          <w:rFonts w:hint="eastAsia" w:ascii="方正小标宋_GBK" w:hAnsi="方正小标宋_GBK" w:eastAsia="方正小标宋_GBK" w:cs="方正小标宋_GBK"/>
          <w:b w:val="0"/>
          <w:bCs/>
          <w:sz w:val="44"/>
          <w:szCs w:val="44"/>
        </w:rPr>
      </w:pPr>
      <w:r>
        <w:rPr>
          <w:rFonts w:hint="eastAsia" w:ascii="方正小标宋_GBK" w:hAnsi="方正小标宋_GBK" w:eastAsia="方正小标宋_GBK" w:cs="方正小标宋_GBK"/>
          <w:b w:val="0"/>
          <w:bCs/>
          <w:sz w:val="44"/>
          <w:szCs w:val="44"/>
        </w:rPr>
        <w:t>培养名师协议书</w:t>
      </w:r>
    </w:p>
    <w:p w14:paraId="39FE4515">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甲方：教师进修学校教研员</w:t>
      </w:r>
    </w:p>
    <w:p w14:paraId="3363B53C">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乙方：基层学校带培对象</w:t>
      </w:r>
    </w:p>
    <w:p w14:paraId="60F3E907">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sz w:val="28"/>
          <w:szCs w:val="28"/>
        </w:rPr>
      </w:pPr>
      <w:r>
        <w:rPr>
          <w:rFonts w:hint="eastAsia"/>
          <w:sz w:val="28"/>
          <w:szCs w:val="28"/>
        </w:rPr>
        <w:t>为落实《教研员帮带骨干教师、</w:t>
      </w:r>
      <w:r>
        <w:rPr>
          <w:rFonts w:hint="eastAsia"/>
          <w:sz w:val="28"/>
          <w:szCs w:val="28"/>
          <w:lang w:eastAsia="zh-CN"/>
        </w:rPr>
        <w:t>培养</w:t>
      </w:r>
      <w:r>
        <w:rPr>
          <w:rFonts w:hint="eastAsia"/>
          <w:sz w:val="28"/>
          <w:szCs w:val="28"/>
        </w:rPr>
        <w:t>名师工程实施方案（2026—2029 年）》要求，经基层学校推荐、县名师培养工作领导小组审核及网上公示，现确定乙方教师___________为甲方</w:t>
      </w:r>
      <w:bookmarkStart w:id="29" w:name="_GoBack"/>
      <w:bookmarkEnd w:id="29"/>
      <w:r>
        <w:rPr>
          <w:rFonts w:hint="eastAsia"/>
          <w:sz w:val="28"/>
          <w:szCs w:val="28"/>
        </w:rPr>
        <w:t>教研员___________的带培对象。甲乙双方均应认真研读《教研员帮带骨干教师、</w:t>
      </w:r>
      <w:r>
        <w:rPr>
          <w:rFonts w:hint="eastAsia"/>
          <w:sz w:val="28"/>
          <w:szCs w:val="28"/>
          <w:lang w:eastAsia="zh-CN"/>
        </w:rPr>
        <w:t>培养</w:t>
      </w:r>
      <w:r>
        <w:rPr>
          <w:rFonts w:hint="eastAsia"/>
          <w:sz w:val="28"/>
          <w:szCs w:val="28"/>
        </w:rPr>
        <w:t>名师工程实施方案（2026—2029 年）》《“教研员帮带骨干教师、</w:t>
      </w:r>
      <w:r>
        <w:rPr>
          <w:rFonts w:hint="eastAsia"/>
          <w:sz w:val="28"/>
          <w:szCs w:val="28"/>
          <w:lang w:eastAsia="zh-CN"/>
        </w:rPr>
        <w:t>培养</w:t>
      </w:r>
      <w:r>
        <w:rPr>
          <w:rFonts w:hint="eastAsia"/>
          <w:sz w:val="28"/>
          <w:szCs w:val="28"/>
        </w:rPr>
        <w:t>名师工程”工作制度》相关内容，严格履行各自职责，密切配合、协同推进，共同完成三年培养周期内的各项培养任务。培养周期内，乙方所属基层学校需为带培对象的专业成长提供必要的工作支持与保障；县名师培养工作领导小组将对甲方教研员、乙方带培对象的履职情况进行全程考核，对考核不合格者，将按规定取消其带培对象资格。</w:t>
      </w:r>
    </w:p>
    <w:p w14:paraId="4C271490">
      <w:pPr>
        <w:keepNext w:val="0"/>
        <w:keepLines w:val="0"/>
        <w:pageBreakBefore w:val="0"/>
        <w:kinsoku/>
        <w:wordWrap/>
        <w:overflowPunct/>
        <w:topLinePunct w:val="0"/>
        <w:autoSpaceDE/>
        <w:autoSpaceDN/>
        <w:bidi w:val="0"/>
        <w:adjustRightInd/>
        <w:snapToGrid/>
        <w:spacing w:line="576" w:lineRule="exact"/>
        <w:ind w:firstLine="560"/>
        <w:jc w:val="both"/>
        <w:textAlignment w:val="auto"/>
        <w:rPr>
          <w:rFonts w:hint="eastAsia" w:ascii="宋体" w:hAnsi="宋体"/>
          <w:sz w:val="28"/>
          <w:szCs w:val="28"/>
        </w:rPr>
      </w:pPr>
      <w:r>
        <w:rPr>
          <w:rFonts w:hint="eastAsia"/>
          <w:sz w:val="28"/>
          <w:szCs w:val="28"/>
        </w:rPr>
        <w:t>本协议书自双方签字之日起生效，未尽事宜按照上述实施方案及工作制度执行。</w:t>
      </w:r>
    </w:p>
    <w:p w14:paraId="404FD875">
      <w:pPr>
        <w:keepNext w:val="0"/>
        <w:keepLines w:val="0"/>
        <w:pageBreakBefore w:val="0"/>
        <w:kinsoku/>
        <w:wordWrap w:val="0"/>
        <w:overflowPunct/>
        <w:topLinePunct w:val="0"/>
        <w:autoSpaceDE/>
        <w:autoSpaceDN/>
        <w:bidi w:val="0"/>
        <w:adjustRightInd/>
        <w:snapToGrid/>
        <w:spacing w:line="576" w:lineRule="exact"/>
        <w:ind w:firstLine="560"/>
        <w:jc w:val="right"/>
        <w:textAlignment w:val="auto"/>
        <w:rPr>
          <w:rFonts w:hint="default" w:eastAsia="仿宋"/>
          <w:sz w:val="28"/>
          <w:szCs w:val="28"/>
          <w:lang w:val="en-US" w:eastAsia="zh-CN"/>
        </w:rPr>
      </w:pPr>
      <w:r>
        <w:rPr>
          <w:rFonts w:hint="eastAsia"/>
          <w:sz w:val="28"/>
          <w:szCs w:val="28"/>
        </w:rPr>
        <w:t>甲方：（签字）</w:t>
      </w:r>
      <w:r>
        <w:rPr>
          <w:rFonts w:hint="eastAsia"/>
          <w:sz w:val="28"/>
          <w:szCs w:val="28"/>
          <w:lang w:val="en-US" w:eastAsia="zh-CN"/>
        </w:rPr>
        <w:t xml:space="preserve">            </w:t>
      </w:r>
    </w:p>
    <w:p w14:paraId="40EC6EA9">
      <w:pPr>
        <w:keepNext w:val="0"/>
        <w:keepLines w:val="0"/>
        <w:pageBreakBefore w:val="0"/>
        <w:kinsoku/>
        <w:wordWrap w:val="0"/>
        <w:overflowPunct/>
        <w:topLinePunct w:val="0"/>
        <w:autoSpaceDE/>
        <w:autoSpaceDN/>
        <w:bidi w:val="0"/>
        <w:adjustRightInd/>
        <w:snapToGrid/>
        <w:spacing w:line="576" w:lineRule="exact"/>
        <w:ind w:firstLine="560"/>
        <w:jc w:val="right"/>
        <w:textAlignment w:val="auto"/>
        <w:rPr>
          <w:rFonts w:hint="default" w:eastAsia="仿宋"/>
          <w:sz w:val="28"/>
          <w:szCs w:val="28"/>
          <w:lang w:val="en-US" w:eastAsia="zh-CN"/>
        </w:rPr>
      </w:pPr>
      <w:r>
        <w:rPr>
          <w:rFonts w:hint="eastAsia"/>
          <w:sz w:val="28"/>
          <w:szCs w:val="28"/>
          <w:lang w:val="en-US" w:eastAsia="zh-CN"/>
        </w:rPr>
        <w:t xml:space="preserve"> </w:t>
      </w:r>
      <w:r>
        <w:rPr>
          <w:rFonts w:hint="eastAsia"/>
          <w:sz w:val="28"/>
          <w:szCs w:val="28"/>
        </w:rPr>
        <w:t>乙方：（签字）</w:t>
      </w:r>
      <w:r>
        <w:rPr>
          <w:rFonts w:hint="eastAsia"/>
          <w:sz w:val="28"/>
          <w:szCs w:val="28"/>
          <w:lang w:val="en-US" w:eastAsia="zh-CN"/>
        </w:rPr>
        <w:t xml:space="preserve">            </w:t>
      </w:r>
    </w:p>
    <w:p w14:paraId="032F15C1">
      <w:pPr>
        <w:spacing w:line="360" w:lineRule="auto"/>
        <w:ind w:firstLine="5111" w:firstLineChars="1900"/>
        <w:rPr>
          <w:rFonts w:hint="eastAsia" w:ascii="仿宋" w:hAnsi="仿宋" w:eastAsia="仿宋" w:cs="仿宋"/>
          <w:sz w:val="32"/>
          <w:szCs w:val="32"/>
        </w:rPr>
      </w:pPr>
      <w:r>
        <w:rPr>
          <w:rFonts w:hint="eastAsia" w:ascii="宋体" w:hAnsi="宋体"/>
          <w:sz w:val="28"/>
          <w:szCs w:val="28"/>
          <w:lang w:val="en-US" w:eastAsia="zh-CN"/>
        </w:rPr>
        <w:t>2026</w:t>
      </w:r>
      <w:r>
        <w:rPr>
          <w:rFonts w:hint="eastAsia" w:ascii="宋体" w:hAnsi="宋体"/>
          <w:sz w:val="28"/>
          <w:szCs w:val="28"/>
        </w:rPr>
        <w:t>年</w:t>
      </w:r>
      <w:r>
        <w:rPr>
          <w:rFonts w:hint="eastAsia" w:ascii="宋体" w:hAnsi="宋体"/>
          <w:sz w:val="28"/>
          <w:szCs w:val="28"/>
          <w:lang w:val="en-US" w:eastAsia="zh-CN"/>
        </w:rPr>
        <w:t xml:space="preserve">   </w:t>
      </w:r>
      <w:r>
        <w:rPr>
          <w:rFonts w:hint="eastAsia" w:ascii="宋体" w:hAnsi="宋体"/>
          <w:sz w:val="28"/>
          <w:szCs w:val="28"/>
        </w:rPr>
        <w:t xml:space="preserve">月 </w:t>
      </w:r>
      <w:r>
        <w:rPr>
          <w:rFonts w:hint="eastAsia" w:ascii="宋体" w:hAnsi="宋体"/>
          <w:sz w:val="28"/>
          <w:szCs w:val="28"/>
          <w:lang w:val="en-US" w:eastAsia="zh-CN"/>
        </w:rPr>
        <w:t xml:space="preserve">  </w:t>
      </w:r>
      <w:r>
        <w:rPr>
          <w:rFonts w:hint="eastAsia" w:ascii="宋体" w:hAnsi="宋体"/>
          <w:sz w:val="28"/>
          <w:szCs w:val="28"/>
        </w:rPr>
        <w:t>日</w:t>
      </w:r>
    </w:p>
    <w:sectPr>
      <w:headerReference r:id="rId3" w:type="default"/>
      <w:footerReference r:id="rId4" w:type="default"/>
      <w:pgSz w:w="11905" w:h="16840"/>
      <w:pgMar w:top="2098" w:right="1474" w:bottom="1984" w:left="1587" w:header="720" w:footer="720" w:gutter="0"/>
      <w:cols w:space="0" w:num="1"/>
      <w:rtlGutter w:val="0"/>
      <w:docGrid w:type="linesAndChars" w:linePitch="634" w:charSpace="-234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_GBK">
    <w:panose1 w:val="03000502000000000000"/>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785D1"/>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1AD81E"/>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rawingGridHorizontalSpacing w:val="154"/>
  <w:drawingGridVerticalSpacing w:val="317"/>
  <w:displayHorizontalDrawingGridEvery w:val="2"/>
  <w:displayVerticalDrawingGridEvery w:val="2"/>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F55AC0"/>
    <w:rsid w:val="01DA226F"/>
    <w:rsid w:val="07F72C0E"/>
    <w:rsid w:val="09C53944"/>
    <w:rsid w:val="09DB10D2"/>
    <w:rsid w:val="0A181978"/>
    <w:rsid w:val="0B5F1E14"/>
    <w:rsid w:val="0BCB296C"/>
    <w:rsid w:val="0BCC242C"/>
    <w:rsid w:val="0DF75186"/>
    <w:rsid w:val="0E4F4D64"/>
    <w:rsid w:val="0E5444C9"/>
    <w:rsid w:val="0F0A58B0"/>
    <w:rsid w:val="100604E5"/>
    <w:rsid w:val="12DE78DE"/>
    <w:rsid w:val="13A426F0"/>
    <w:rsid w:val="143B1383"/>
    <w:rsid w:val="1454229E"/>
    <w:rsid w:val="159276FB"/>
    <w:rsid w:val="18D55226"/>
    <w:rsid w:val="19BA3BF4"/>
    <w:rsid w:val="1FD313BF"/>
    <w:rsid w:val="208C731F"/>
    <w:rsid w:val="20AC3352"/>
    <w:rsid w:val="21C526A0"/>
    <w:rsid w:val="250E4686"/>
    <w:rsid w:val="295D104C"/>
    <w:rsid w:val="2C5F5C4D"/>
    <w:rsid w:val="2CE87580"/>
    <w:rsid w:val="2E442CAE"/>
    <w:rsid w:val="2E526506"/>
    <w:rsid w:val="2F4323BB"/>
    <w:rsid w:val="2FBC4D08"/>
    <w:rsid w:val="35237850"/>
    <w:rsid w:val="36032F7B"/>
    <w:rsid w:val="375F35B5"/>
    <w:rsid w:val="37683966"/>
    <w:rsid w:val="38186444"/>
    <w:rsid w:val="38341716"/>
    <w:rsid w:val="3E955132"/>
    <w:rsid w:val="41F82BF3"/>
    <w:rsid w:val="43987007"/>
    <w:rsid w:val="44810FA7"/>
    <w:rsid w:val="45C151F1"/>
    <w:rsid w:val="47C834DA"/>
    <w:rsid w:val="4808590E"/>
    <w:rsid w:val="4FC033E5"/>
    <w:rsid w:val="51322546"/>
    <w:rsid w:val="549875D8"/>
    <w:rsid w:val="56B93421"/>
    <w:rsid w:val="56F664B8"/>
    <w:rsid w:val="595F2FAB"/>
    <w:rsid w:val="5A175510"/>
    <w:rsid w:val="5A41691F"/>
    <w:rsid w:val="5D213975"/>
    <w:rsid w:val="5D541157"/>
    <w:rsid w:val="60025ECE"/>
    <w:rsid w:val="62F81938"/>
    <w:rsid w:val="6375148A"/>
    <w:rsid w:val="65241DA1"/>
    <w:rsid w:val="65A67626"/>
    <w:rsid w:val="6905618B"/>
    <w:rsid w:val="6C4933FE"/>
    <w:rsid w:val="6DBF49CF"/>
    <w:rsid w:val="6DD322D2"/>
    <w:rsid w:val="71541233"/>
    <w:rsid w:val="723B0254"/>
    <w:rsid w:val="725F4256"/>
    <w:rsid w:val="730509B1"/>
    <w:rsid w:val="75044781"/>
    <w:rsid w:val="75DE5D4A"/>
    <w:rsid w:val="786A0221"/>
    <w:rsid w:val="786A56EE"/>
    <w:rsid w:val="7C3B4D0E"/>
    <w:rsid w:val="7C927A5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 w:hAnsi="仿宋" w:eastAsia="仿宋" w:cs="仿宋"/>
      <w:sz w:val="32"/>
      <w:szCs w:val="32"/>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14</Pages>
  <Words>5370</Words>
  <Characters>5447</Characters>
  <TotalTime>8</TotalTime>
  <ScaleCrop>false</ScaleCrop>
  <LinksUpToDate>false</LinksUpToDate>
  <CharactersWithSpaces>5521</CharactersWithSpaces>
  <Application>WPS Office_12.1.0.25865_F1E327BC-269C-435d-A152-05C5408002CA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2026-03-30T02:26:00Z</dcterms:created>
  <dc:creator>Apache POI</dc:creator>
  <cp:lastModifiedBy>邵美鸥</cp:lastModifiedBy>
  <dcterms:modified xsi:type="dcterms:W3CDTF">2026-05-19T02:14:29Z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937ADE1F56784824B0DC6AAE67D8CDC0_13</vt:lpwstr>
  </property>
  <property fmtid="{D5CDD505-2E9C-101B-9397-08002B2CF9AE}" pid="4" name="KSOTemplateDocerSaveRecord">
    <vt:lpwstr>eyJoZGlkIjoiM2JmNDM1MmQzMWYxZDBiYzE1N2YyZmEzZDYwOWJjYzciLCJ1c2VySWQiOiIxMDA2Mjc2NDQ3In0=</vt:lpwstr>
  </property>
</Properties>
</file>