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F49327">
      <w:pPr>
        <w:widowControl/>
        <w:pBdr>
          <w:top w:val="single" w:color="EEEEEE" w:sz="6" w:space="0"/>
          <w:left w:val="single" w:color="EEEEEE" w:sz="6" w:space="0"/>
          <w:bottom w:val="single" w:color="EEEEEE" w:sz="6" w:space="0"/>
          <w:right w:val="single" w:color="EEEEEE" w:sz="6" w:space="0"/>
        </w:pBdr>
        <w:shd w:val="clear" w:color="auto" w:fill="EEEEEE"/>
        <w:spacing w:before="300" w:line="560" w:lineRule="exact"/>
        <w:jc w:val="center"/>
        <w:rPr>
          <w:rFonts w:hint="eastAsia" w:ascii="微软雅黑" w:hAnsi="微软雅黑" w:eastAsia="微软雅黑"/>
          <w:b/>
          <w:bCs/>
          <w:color w:val="CA1200"/>
          <w:kern w:val="0"/>
          <w:sz w:val="44"/>
          <w:szCs w:val="44"/>
          <w:shd w:val="clear" w:color="auto" w:fill="EEEEEE"/>
        </w:rPr>
      </w:pPr>
      <w:r>
        <w:rPr>
          <w:sz w:val="44"/>
        </w:rPr>
        <mc:AlternateContent>
          <mc:Choice Requires="wps">
            <w:drawing>
              <wp:anchor distT="0" distB="0" distL="114300" distR="114300" simplePos="0" relativeHeight="251659264" behindDoc="0" locked="0" layoutInCell="1" allowOverlap="1">
                <wp:simplePos x="0" y="0"/>
                <wp:positionH relativeFrom="column">
                  <wp:posOffset>-471170</wp:posOffset>
                </wp:positionH>
                <wp:positionV relativeFrom="paragraph">
                  <wp:posOffset>-706755</wp:posOffset>
                </wp:positionV>
                <wp:extent cx="1181100" cy="638175"/>
                <wp:effectExtent l="0" t="0" r="0" b="9525"/>
                <wp:wrapNone/>
                <wp:docPr id="1" name="文本框 1"/>
                <wp:cNvGraphicFramePr/>
                <a:graphic xmlns:a="http://schemas.openxmlformats.org/drawingml/2006/main">
                  <a:graphicData uri="http://schemas.microsoft.com/office/word/2010/wordprocessingShape">
                    <wps:wsp>
                      <wps:cNvSpPr txBox="1"/>
                      <wps:spPr>
                        <a:xfrm>
                          <a:off x="537210" y="563245"/>
                          <a:ext cx="1181100" cy="6381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9B378C4">
                            <w:pPr>
                              <w:rPr>
                                <w:rFonts w:hint="eastAsia" w:ascii="仿宋" w:hAnsi="仿宋" w:eastAsia="仿宋" w:cs="仿宋"/>
                                <w:lang w:val="en-US" w:eastAsia="zh-CN"/>
                              </w:rPr>
                            </w:pPr>
                            <w:r>
                              <w:rPr>
                                <w:rFonts w:hint="eastAsia" w:ascii="仿宋" w:hAnsi="仿宋" w:eastAsia="仿宋" w:cs="仿宋"/>
                                <w:sz w:val="24"/>
                                <w:szCs w:val="24"/>
                                <w:lang w:eastAsia="zh-CN"/>
                              </w:rPr>
                              <w:t>附</w:t>
                            </w:r>
                            <w:r>
                              <w:rPr>
                                <w:rFonts w:hint="eastAsia" w:ascii="仿宋" w:hAnsi="仿宋" w:eastAsia="仿宋" w:cs="仿宋"/>
                                <w:sz w:val="24"/>
                                <w:szCs w:val="24"/>
                                <w:lang w:eastAsia="zh-CN"/>
                              </w:rPr>
                              <w:t>件</w:t>
                            </w:r>
                            <w:r>
                              <w:rPr>
                                <w:rFonts w:hint="eastAsia" w:ascii="仿宋" w:hAnsi="仿宋" w:eastAsia="仿宋" w:cs="仿宋"/>
                                <w:sz w:val="24"/>
                                <w:szCs w:val="24"/>
                                <w:lang w:val="en-US" w:eastAsia="zh-CN"/>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1pt;margin-top:-55.65pt;height:50.25pt;width:93pt;z-index:251659264;mso-width-relative:page;mso-height-relative:page;" fillcolor="#FFFFFF [3201]" filled="t" stroked="f" coordsize="21600,21600" o:gfxdata="UEsDBAoAAAAAAIdO4kAAAAAAAAAAAAAAAAAEAAAAZHJzL1BLAwQUAAAACACHTuJAC1ZBpdUAAAAM&#10;AQAADwAAAGRycy9kb3ducmV2LnhtbE2PzU7DMBCE70i8g7VI3FrbpYIqxOkBiSsSbenZjZc4Il5H&#10;tvv79GxOcNvdGc1+U68vYRAnTLmPZEDPFQikNrqeOgO77ftsBSIXS84OkdDAFTOsm/u72lYunukT&#10;T5vSCQ6hXFkDvpSxkjK3HoPN8zgisfYdU7CF19RJl+yZw8MgF0o9y2B74g/ejvjmsf3ZHIOBfRdu&#10;+y89Ju/CsKSP23W7i70xjw9avYIoeCl/ZpjwGR0aZjrEI7ksBgOzl+WCrTxorZ9ATBatuc1hOqkV&#10;yKaW/0s0v1BLAwQUAAAACACHTuJAQYo0/lcCAACZBAAADgAAAGRycy9lMm9Eb2MueG1srVTNjtMw&#10;EL4j8Q6W7zRN/7ZUTVdlV0VIK3algji7jtNYsj3GdpssDwBvwIkLd56rz8HYyf6wcNgDPbhjz+cZ&#10;f9/MZHneakWOwnkJpqD5YEiJMBxKafYF/fhh82pOiQ/MlEyBEQW9FZ6er16+WDZ2IUZQgyqFIxjE&#10;+EVjC1qHYBdZ5nktNPMDsMKgswKnWcCt22elYw1G1yobDYezrAFXWgdceI+nl52T9hHdcwJCVUku&#10;LoEftDChi+qEYgEp+VpaT1fptVUleLiuKi8CUQVFpiGtmATtXVyz1ZIt9o7ZWvL+Cew5T3jCSTNp&#10;MOl9qEsWGDk4+VcoLbkDD1UYcNBZRyQpgizy4RNttjWzInFBqb29F93/v7D8/fHGEVliJ1BimMaC&#10;n75/O/34dfr5leRRnsb6BaK2FnGhfQNthPbnHg8j67ZyOv4jH4L+6fhslKPCt2jOxqPJtJNZtIHw&#10;eD2f5/kQ/RwBs/E8P0uA7CGOdT68FaBJNArqsIxJXXa88gFzI/QOEtN6ULLcSKXSxu13F8qRI8OS&#10;b9Ivpscrf8CUIU3MPh2myAbi/Q6nDMIj7Y5etEK7a3vOOyhvUQoHXS95yzcSX3nFfLhhDpsHieF4&#10;hWtcKgWYBHqLkhrcl3+dRzzWFL2UNNiMBfWfD8wJStQ7g9V+nU8mGDakzWR6NsKNe+zZPfaYg74A&#10;JI8VxdclM+KDujMrB/oTTuE6ZkUXMxxzFzTcmRehGxGcYi7W6wTCfrUsXJmt5TF0lNrA+hCgkqkk&#10;UaZOm1497Ngkez9dcSQe7xPq4Yuy+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LVkGl1QAAAAwB&#10;AAAPAAAAAAAAAAEAIAAAACIAAABkcnMvZG93bnJldi54bWxQSwECFAAUAAAACACHTuJAQYo0/lcC&#10;AACZBAAADgAAAAAAAAABACAAAAAkAQAAZHJzL2Uyb0RvYy54bWxQSwUGAAAAAAYABgBZAQAA7QUA&#10;AAAA&#10;">
                <v:fill on="t" focussize="0,0"/>
                <v:stroke on="f" weight="0.5pt"/>
                <v:imagedata o:title=""/>
                <o:lock v:ext="edit" aspectratio="f"/>
                <v:textbox>
                  <w:txbxContent>
                    <w:p w14:paraId="49B378C4">
                      <w:pPr>
                        <w:rPr>
                          <w:rFonts w:hint="eastAsia" w:ascii="仿宋" w:hAnsi="仿宋" w:eastAsia="仿宋" w:cs="仿宋"/>
                          <w:lang w:val="en-US" w:eastAsia="zh-CN"/>
                        </w:rPr>
                      </w:pPr>
                      <w:r>
                        <w:rPr>
                          <w:rFonts w:hint="eastAsia" w:ascii="仿宋" w:hAnsi="仿宋" w:eastAsia="仿宋" w:cs="仿宋"/>
                          <w:sz w:val="24"/>
                          <w:szCs w:val="24"/>
                          <w:lang w:eastAsia="zh-CN"/>
                        </w:rPr>
                        <w:t>附</w:t>
                      </w:r>
                      <w:r>
                        <w:rPr>
                          <w:rFonts w:hint="eastAsia" w:ascii="仿宋" w:hAnsi="仿宋" w:eastAsia="仿宋" w:cs="仿宋"/>
                          <w:sz w:val="24"/>
                          <w:szCs w:val="24"/>
                          <w:lang w:eastAsia="zh-CN"/>
                        </w:rPr>
                        <w:t>件</w:t>
                      </w:r>
                      <w:r>
                        <w:rPr>
                          <w:rFonts w:hint="eastAsia" w:ascii="仿宋" w:hAnsi="仿宋" w:eastAsia="仿宋" w:cs="仿宋"/>
                          <w:sz w:val="24"/>
                          <w:szCs w:val="24"/>
                          <w:lang w:val="en-US" w:eastAsia="zh-CN"/>
                        </w:rPr>
                        <w:t>1</w:t>
                      </w:r>
                    </w:p>
                  </w:txbxContent>
                </v:textbox>
              </v:shape>
            </w:pict>
          </mc:Fallback>
        </mc:AlternateContent>
      </w:r>
      <w:r>
        <w:rPr>
          <w:rFonts w:hint="eastAsia" w:ascii="微软雅黑" w:hAnsi="微软雅黑" w:eastAsia="微软雅黑"/>
          <w:b/>
          <w:bCs/>
          <w:color w:val="CA1200"/>
          <w:kern w:val="0"/>
          <w:sz w:val="44"/>
          <w:szCs w:val="44"/>
          <w:shd w:val="clear" w:color="auto" w:fill="EEEEEE"/>
        </w:rPr>
        <w:t>关于做好2026年吉林省专业技术人员继续</w:t>
      </w:r>
    </w:p>
    <w:p w14:paraId="0DD4FABA">
      <w:pPr>
        <w:widowControl/>
        <w:pBdr>
          <w:top w:val="single" w:color="EEEEEE" w:sz="6" w:space="0"/>
          <w:left w:val="single" w:color="EEEEEE" w:sz="6" w:space="0"/>
          <w:bottom w:val="single" w:color="EEEEEE" w:sz="6" w:space="0"/>
          <w:right w:val="single" w:color="EEEEEE" w:sz="6" w:space="0"/>
        </w:pBdr>
        <w:shd w:val="clear" w:color="auto" w:fill="EEEEEE"/>
        <w:spacing w:before="300" w:line="560" w:lineRule="exact"/>
        <w:jc w:val="center"/>
        <w:rPr>
          <w:rFonts w:ascii="微软雅黑" w:hAnsi="微软雅黑" w:eastAsia="微软雅黑"/>
          <w:b/>
          <w:bCs/>
          <w:color w:val="990000"/>
          <w:sz w:val="44"/>
          <w:szCs w:val="44"/>
        </w:rPr>
      </w:pPr>
      <w:r>
        <w:rPr>
          <w:rFonts w:hint="eastAsia" w:ascii="微软雅黑" w:hAnsi="微软雅黑" w:eastAsia="微软雅黑"/>
          <w:b/>
          <w:bCs/>
          <w:color w:val="CA1200"/>
          <w:kern w:val="0"/>
          <w:sz w:val="44"/>
          <w:szCs w:val="44"/>
          <w:shd w:val="clear" w:color="auto" w:fill="EEEEEE"/>
        </w:rPr>
        <w:t>教育学习有关工作的通知</w:t>
      </w:r>
    </w:p>
    <w:p w14:paraId="0C29BBF9">
      <w:pPr>
        <w:widowControl/>
        <w:numPr>
          <w:ilvl w:val="0"/>
          <w:numId w:val="1"/>
        </w:numPr>
        <w:spacing w:before="450" w:after="450" w:line="560" w:lineRule="exact"/>
        <w:ind w:left="750"/>
        <w:rPr>
          <w:rFonts w:hint="eastAsia"/>
          <w:color w:val="343434"/>
          <w:sz w:val="18"/>
          <w:szCs w:val="18"/>
        </w:rPr>
      </w:pPr>
      <w:r>
        <w:rPr>
          <w:rFonts w:ascii="宋体" w:hAnsi="宋体"/>
          <w:color w:val="343434"/>
          <w:sz w:val="18"/>
          <w:szCs w:val="18"/>
          <w:shd w:val="clear" w:color="auto" w:fill="FFFFFF"/>
        </w:rPr>
        <w:t>吉林省人力资源和社会保障厅</w:t>
      </w:r>
      <w:r>
        <w:rPr>
          <w:rFonts w:hint="eastAsia" w:ascii="Times New Roman" w:hAnsi="Times New Roman"/>
          <w:color w:val="343434"/>
          <w:sz w:val="18"/>
          <w:szCs w:val="18"/>
          <w:shd w:val="clear" w:color="auto" w:fill="FFFFFF"/>
        </w:rPr>
        <w:t xml:space="preserve">                                </w:t>
      </w:r>
      <w:r>
        <w:rPr>
          <w:rFonts w:ascii="宋体" w:hAnsi="宋体"/>
          <w:color w:val="343434"/>
          <w:sz w:val="18"/>
          <w:szCs w:val="18"/>
          <w:shd w:val="clear" w:color="auto" w:fill="FFFFFF"/>
        </w:rPr>
        <w:t>发布时间</w:t>
      </w:r>
      <w:r>
        <w:rPr>
          <w:rFonts w:ascii="Times New Roman" w:hAnsi="Times New Roman"/>
          <w:color w:val="343434"/>
          <w:sz w:val="18"/>
          <w:szCs w:val="18"/>
          <w:shd w:val="clear" w:color="auto" w:fill="FFFFFF"/>
        </w:rPr>
        <w:t>:2025-12-09 15:37:00</w:t>
      </w:r>
      <w:bookmarkStart w:id="0" w:name="_GoBack"/>
      <w:bookmarkEnd w:id="0"/>
    </w:p>
    <w:p w14:paraId="44814FA7">
      <w:pPr>
        <w:widowControl/>
        <w:shd w:val="clear" w:color="auto" w:fill="FFFFFF"/>
        <w:spacing w:line="560" w:lineRule="exact"/>
        <w:ind w:left="150" w:right="150"/>
        <w:rPr>
          <w:rFonts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各市（州）、长白山管委会人力资源和社会保障局，各县（市、区）人力资源和社会保障局，省直各部门（单位），各相关单位：</w:t>
      </w:r>
    </w:p>
    <w:p w14:paraId="243D3281">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2025年12月6日起，“吉林省专业技术人员继续教育公共服务平台”不再作为我省专业技术人员继续教育官方学习平台。2026年1月1日起，该平台将正式停止使用，全省继续教育工作学习模式将随之调整。为统筹做好平台停用与继续教育工作的衔接过渡，进一步优化管理机制，提升继续教育质量，现就有关事项通知如下：</w:t>
      </w:r>
    </w:p>
    <w:p w14:paraId="5FD03198">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一、职责分工</w:t>
      </w:r>
    </w:p>
    <w:p w14:paraId="6AA132F2">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根据《专业技术人员继续教育规定》（人力资源社会保障部令第25号）精神，“行业主管部门在各自职责范围内依法做好本行业继续教育的规划、管理和实施工作”的要求。明确职责分工如下：</w:t>
      </w:r>
    </w:p>
    <w:p w14:paraId="09A5313D">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（一）行业主管部门。</w:t>
      </w:r>
      <w:r>
        <w:rPr>
          <w:rFonts w:hint="eastAsia" w:ascii="仿宋" w:hAnsi="仿宋" w:eastAsia="仿宋"/>
          <w:color w:val="343434"/>
          <w:kern w:val="0"/>
          <w:sz w:val="31"/>
          <w:szCs w:val="31"/>
          <w:shd w:val="clear" w:color="auto" w:fill="FFFFFF"/>
        </w:rPr>
        <w:t>各行业主管部门应切实承担起本行业继续教育工作的主体责任，可参照《吉林省专业技术人员继续教育学时认定参考》（见附件），结合本行业特点和实际需求，经科学论证后，制定本行业继续教育学习管理办法，全面负责组织、管理与监督本行业专业技术人员的继续教育活动。</w:t>
      </w:r>
    </w:p>
    <w:p w14:paraId="001D840B">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省直各部门（单位）制定的实施办法须报省人力资源和社会保障厅备案；市（州）、县（市、区）主管部门制定的实施办法须报属地人社部门备案。</w:t>
      </w:r>
    </w:p>
    <w:p w14:paraId="5EC18F5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（二）用人单位。</w:t>
      </w:r>
      <w:r>
        <w:rPr>
          <w:rFonts w:hint="eastAsia" w:ascii="仿宋" w:hAnsi="仿宋" w:eastAsia="仿宋"/>
          <w:color w:val="343434"/>
          <w:kern w:val="0"/>
          <w:sz w:val="31"/>
          <w:szCs w:val="31"/>
          <w:shd w:val="clear" w:color="auto" w:fill="FFFFFF"/>
        </w:rPr>
        <w:t>用人单位须依据行业主管部门规定，制定符合本单位实际的实施细则，具体负责本单位专业技术人员的学时登记、学习组织等日常工作。用人单位制定的实施细则须报各级行业主管部门备案。</w:t>
      </w:r>
    </w:p>
    <w:p w14:paraId="6F5EB3FF">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（三）人力资源社会保障部门。</w:t>
      </w:r>
      <w:r>
        <w:rPr>
          <w:rFonts w:hint="eastAsia" w:ascii="仿宋" w:hAnsi="仿宋" w:eastAsia="仿宋"/>
          <w:color w:val="343434"/>
          <w:kern w:val="0"/>
          <w:sz w:val="31"/>
          <w:szCs w:val="31"/>
          <w:shd w:val="clear" w:color="auto" w:fill="FFFFFF"/>
        </w:rPr>
        <w:t>各级人力资源和社会保障部门负责本行政区域内专业技术人员继续教育工作的宏观指导、政策归集与发布及公共服务等工作。</w:t>
      </w:r>
    </w:p>
    <w:p w14:paraId="2413697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二、内容和学时</w:t>
      </w:r>
    </w:p>
    <w:p w14:paraId="543C63E6">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（一）课程分类</w:t>
      </w:r>
    </w:p>
    <w:p w14:paraId="45C320C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1.公需科目。主要包括专业技术人员应普遍掌握的法律法规、理论政策、职业道德、技术信息等基本知识内容。</w:t>
      </w:r>
    </w:p>
    <w:p w14:paraId="016486F9">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2.专业科目。主要包括专业技术人员所从事专业技术工作应当掌握的新理论、新知识、新技术、新方法等专业知识。</w:t>
      </w:r>
    </w:p>
    <w:p w14:paraId="298B0D13">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（二）学时标准</w:t>
      </w:r>
    </w:p>
    <w:p w14:paraId="4841BC53">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专业技术人员应按规定完成年度继续教育学习任务，每年累计应不少于90学时，其中，公需科目不少于30学时，专业科目不少于60学时。</w:t>
      </w:r>
    </w:p>
    <w:p w14:paraId="5ABF6A17">
      <w:pPr>
        <w:widowControl/>
        <w:shd w:val="clear" w:color="auto" w:fill="FFFFFF"/>
        <w:spacing w:line="560" w:lineRule="exact"/>
        <w:ind w:left="150" w:right="150"/>
        <w:rPr>
          <w:rFonts w:hint="eastAsia" w:ascii="黑体" w:hAnsi="黑体" w:eastAsia="黑体"/>
          <w:color w:val="343434"/>
          <w:kern w:val="0"/>
          <w:sz w:val="31"/>
          <w:szCs w:val="31"/>
          <w:shd w:val="clear" w:color="auto" w:fill="FFFFFF"/>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三、时间安排</w:t>
      </w:r>
    </w:p>
    <w:p w14:paraId="6586CDB3">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楷体" w:hAnsi="楷体" w:eastAsia="楷体"/>
          <w:color w:val="343434"/>
          <w:kern w:val="0"/>
          <w:sz w:val="31"/>
          <w:szCs w:val="31"/>
          <w:shd w:val="clear" w:color="auto" w:fill="FFFFFF"/>
        </w:rPr>
        <w:t>（一）常规学习时间。</w:t>
      </w:r>
      <w:r>
        <w:rPr>
          <w:rFonts w:hint="eastAsia" w:ascii="仿宋" w:hAnsi="仿宋" w:eastAsia="仿宋"/>
          <w:color w:val="343434"/>
          <w:kern w:val="0"/>
          <w:sz w:val="31"/>
          <w:szCs w:val="31"/>
          <w:shd w:val="clear" w:color="auto" w:fill="FFFFFF"/>
        </w:rPr>
        <w:t>2026年全省专业技术人员继续教育学习时间自2026年1月1日至2026年12月31日，各用人单位须统筹组织所属专业技术人员按时完成学习。</w:t>
      </w:r>
    </w:p>
    <w:p w14:paraId="05FDA14E">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（二）补学时间。</w:t>
      </w:r>
      <w:r>
        <w:rPr>
          <w:rFonts w:hint="eastAsia" w:ascii="仿宋" w:hAnsi="仿宋" w:eastAsia="仿宋"/>
          <w:color w:val="343434"/>
          <w:kern w:val="0"/>
          <w:sz w:val="31"/>
          <w:szCs w:val="31"/>
          <w:shd w:val="clear" w:color="auto" w:fill="FFFFFF"/>
        </w:rPr>
        <w:t>对确有特殊困难无法完成规定学时的专业技术人员（如伤、病、孕等），须提交书面申请及相关证明材料，经用人单位审核批准后，可在下一年度择期安排补学，并及时完成学时登记和备案工作。</w:t>
      </w:r>
    </w:p>
    <w:p w14:paraId="66B4EDE6">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四、学习方式</w:t>
      </w:r>
    </w:p>
    <w:p w14:paraId="04DC2B3B">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（一）国家级和省级高级研修项目。</w:t>
      </w:r>
      <w:r>
        <w:rPr>
          <w:rFonts w:hint="eastAsia" w:ascii="仿宋" w:hAnsi="仿宋" w:eastAsia="仿宋"/>
          <w:color w:val="343434"/>
          <w:kern w:val="0"/>
          <w:sz w:val="31"/>
          <w:szCs w:val="31"/>
          <w:shd w:val="clear" w:color="auto" w:fill="FFFFFF"/>
        </w:rPr>
        <w:t>专业技术人员可结合所从事专业，报名参加国家级或省级高级研修班学习，研修学习成果可兑换相应的学时，年度累计兑换不超过40学时，学习合格后发放电子证书。国家级和省级继续教育高级研修班学习时间以各基地发布的通知为准。</w:t>
      </w:r>
    </w:p>
    <w:p w14:paraId="7DC496B1">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（二）行业主管部门学习平台。</w:t>
      </w:r>
      <w:r>
        <w:rPr>
          <w:rFonts w:hint="eastAsia" w:ascii="仿宋" w:hAnsi="仿宋" w:eastAsia="仿宋"/>
          <w:color w:val="343434"/>
          <w:kern w:val="0"/>
          <w:sz w:val="31"/>
          <w:szCs w:val="31"/>
          <w:shd w:val="clear" w:color="auto" w:fill="FFFFFF"/>
        </w:rPr>
        <w:t>专业技术人员可通过相关行业主管部门搭建的学习平台进行学习，按行业要求完成年度继续教育学时。具体学习时间以相关行业主管部门发布的通知为准。</w:t>
      </w:r>
    </w:p>
    <w:p w14:paraId="2F4961D4">
      <w:pPr>
        <w:widowControl/>
        <w:shd w:val="clear" w:color="auto" w:fill="FFFFFF"/>
        <w:spacing w:line="560" w:lineRule="exact"/>
        <w:ind w:left="150" w:right="150"/>
        <w:rPr>
          <w:rFonts w:hint="eastAsia" w:ascii="仿宋" w:hAnsi="仿宋" w:eastAsia="仿宋"/>
          <w:color w:val="343434"/>
          <w:kern w:val="0"/>
          <w:sz w:val="31"/>
          <w:szCs w:val="31"/>
          <w:shd w:val="clear" w:color="auto" w:fill="FFFFFF"/>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（三）教育培训机构学习。</w:t>
      </w:r>
      <w:r>
        <w:rPr>
          <w:rFonts w:hint="eastAsia" w:ascii="仿宋" w:hAnsi="仿宋" w:eastAsia="仿宋"/>
          <w:color w:val="343434"/>
          <w:kern w:val="0"/>
          <w:sz w:val="31"/>
          <w:szCs w:val="31"/>
          <w:shd w:val="clear" w:color="auto" w:fill="FFFFFF"/>
        </w:rPr>
        <w:t>依法成立的高等院校、科研院所、大型企业培训机构等各类继续教育机构，可面向专业技术人员提供继续教育培训服务，专业技术人员可选择参加此类学习。行业主管部门另有规定的，从其规定。</w:t>
      </w:r>
    </w:p>
    <w:p w14:paraId="7C45B73F">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楷体" w:hAnsi="楷体" w:eastAsia="楷体"/>
          <w:color w:val="343434"/>
          <w:kern w:val="0"/>
          <w:sz w:val="31"/>
          <w:szCs w:val="31"/>
          <w:shd w:val="clear" w:color="auto" w:fill="FFFFFF"/>
        </w:rPr>
        <w:t>（四）其他类型学习。</w:t>
      </w:r>
      <w:r>
        <w:rPr>
          <w:rFonts w:hint="eastAsia" w:ascii="仿宋" w:hAnsi="仿宋" w:eastAsia="仿宋"/>
          <w:color w:val="343434"/>
          <w:kern w:val="0"/>
          <w:sz w:val="31"/>
          <w:szCs w:val="31"/>
          <w:shd w:val="clear" w:color="auto" w:fill="FFFFFF"/>
        </w:rPr>
        <w:t>各行业主管部门或用人单位，在其制定的办法或细则中明确的各类学习情形，均可纳入继续教育学习范围。</w:t>
      </w:r>
    </w:p>
    <w:p w14:paraId="75F2D966">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五、相关要求</w:t>
      </w:r>
    </w:p>
    <w:p w14:paraId="3CCF2629">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（一）加强组织领导。</w:t>
      </w:r>
      <w:r>
        <w:rPr>
          <w:rFonts w:hint="eastAsia" w:ascii="仿宋" w:hAnsi="仿宋" w:eastAsia="仿宋"/>
          <w:color w:val="343434"/>
          <w:kern w:val="0"/>
          <w:sz w:val="31"/>
          <w:szCs w:val="31"/>
          <w:shd w:val="clear" w:color="auto" w:fill="FFFFFF"/>
        </w:rPr>
        <w:t>各地人力资源和社会保障部门、省直各行业主管部门及各用人单位要高度重视继续教育工作，切实加强组织领导，周密部署安排，确保本地区、本行业、本单位专业技术人员继续教育工作有序推进。</w:t>
      </w:r>
    </w:p>
    <w:p w14:paraId="2BA59F0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（二）压实工作责任。</w:t>
      </w:r>
      <w:r>
        <w:rPr>
          <w:rFonts w:hint="eastAsia" w:ascii="仿宋" w:hAnsi="仿宋" w:eastAsia="仿宋"/>
          <w:color w:val="343434"/>
          <w:kern w:val="0"/>
          <w:sz w:val="31"/>
          <w:szCs w:val="31"/>
          <w:shd w:val="clear" w:color="auto" w:fill="FFFFFF"/>
        </w:rPr>
        <w:t xml:space="preserve">省人力资源和社会保障厅负责全省专业技术人员继续教育工作的综合管理和统筹协调；各地人力资源和社会保障部门要充分发挥职能，调动行业主管部门和继续教育基地的积极性，统筹推进工作落实；各级行业主管部门要在职责范围内做好本行业继续教育的规划、管理和组织实施；用人单位要切实承担本单位继续教育主体责任，保障专业技术人员接受继续教育的权利和必要的学习时间。  </w:t>
      </w:r>
    </w:p>
    <w:p w14:paraId="03555D35">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（三）规范学时审核。</w:t>
      </w:r>
      <w:r>
        <w:rPr>
          <w:rFonts w:hint="eastAsia" w:ascii="仿宋" w:hAnsi="仿宋" w:eastAsia="仿宋"/>
          <w:color w:val="343434"/>
          <w:kern w:val="0"/>
          <w:sz w:val="31"/>
          <w:szCs w:val="31"/>
          <w:shd w:val="clear" w:color="auto" w:fill="FFFFFF"/>
        </w:rPr>
        <w:t>2026年申报职称时，参评人员需在职称申报系统“继续教育学习证明材料”栏中上传由用人单位或主管部门出具的完成XX年度继续教育学习证明（加盖单位公章）和相关佐证材料。</w:t>
      </w:r>
    </w:p>
    <w:p w14:paraId="1755CC79">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本通知自2026年1月1日起施行。此前规定与本通知不一致的，以本通知为准。各地、各部门及各用人单位在执行中遇到的新情况、新问题，请及时向吉林省人力资源和社会保障厅反馈。</w:t>
      </w:r>
    </w:p>
    <w:p w14:paraId="22693E9E">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附件：吉林省专业技术人员继续教育学时认定参考</w:t>
      </w:r>
    </w:p>
    <w:p w14:paraId="78BC7B68">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微软雅黑" w:hAnsi="微软雅黑" w:eastAsia="微软雅黑"/>
          <w:color w:val="343434"/>
          <w:sz w:val="33"/>
          <w:szCs w:val="33"/>
        </w:rPr>
        <w:t xml:space="preserve">                          </w:t>
      </w:r>
    </w:p>
    <w:p w14:paraId="5869E38F">
      <w:pPr>
        <w:widowControl/>
        <w:shd w:val="clear" w:color="auto" w:fill="FFFFFF"/>
        <w:spacing w:line="560" w:lineRule="exact"/>
        <w:ind w:left="150" w:right="150" w:firstLine="4340" w:firstLineChars="140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吉林省人力资源和社会保障厅</w:t>
      </w:r>
    </w:p>
    <w:p w14:paraId="6AF85733">
      <w:pPr>
        <w:widowControl/>
        <w:shd w:val="clear" w:color="auto" w:fill="FFFFFF"/>
        <w:spacing w:line="560" w:lineRule="exact"/>
        <w:ind w:left="150" w:right="150"/>
        <w:jc w:val="right"/>
        <w:rPr>
          <w:rFonts w:hint="eastAsia" w:ascii="仿宋" w:hAnsi="仿宋" w:eastAsia="仿宋"/>
          <w:color w:val="343434"/>
          <w:kern w:val="0"/>
          <w:sz w:val="31"/>
          <w:szCs w:val="31"/>
          <w:shd w:val="clear" w:color="auto" w:fill="FFFFFF"/>
        </w:rPr>
      </w:pPr>
      <w:r>
        <w:rPr>
          <w:rFonts w:hint="eastAsia" w:ascii="仿宋" w:hAnsi="仿宋" w:eastAsia="仿宋"/>
          <w:color w:val="343434"/>
          <w:kern w:val="0"/>
          <w:sz w:val="31"/>
          <w:szCs w:val="31"/>
          <w:shd w:val="clear" w:color="auto" w:fill="FFFFFF"/>
        </w:rPr>
        <w:t xml:space="preserve">  2025年12月6日  </w:t>
      </w:r>
    </w:p>
    <w:p w14:paraId="451F70EB">
      <w:pPr>
        <w:widowControl/>
        <w:shd w:val="clear" w:color="auto" w:fill="FFFFFF"/>
        <w:spacing w:line="560" w:lineRule="exact"/>
        <w:ind w:left="150" w:right="150"/>
        <w:jc w:val="right"/>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p>
    <w:p w14:paraId="3FA26537">
      <w:pPr>
        <w:widowControl/>
        <w:shd w:val="clear" w:color="auto" w:fill="FFFFFF"/>
        <w:spacing w:line="560" w:lineRule="exact"/>
        <w:ind w:left="150" w:right="150"/>
        <w:jc w:val="center"/>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仿宋" w:hAnsi="仿宋" w:eastAsia="仿宋"/>
          <w:b/>
          <w:bCs/>
          <w:color w:val="343434"/>
          <w:kern w:val="0"/>
          <w:sz w:val="31"/>
          <w:szCs w:val="31"/>
          <w:shd w:val="clear" w:color="auto" w:fill="FFFFFF"/>
        </w:rPr>
        <w:t>吉林省专业技术人员继续教育学时认定参考</w:t>
      </w:r>
    </w:p>
    <w:p w14:paraId="2AE40DA1">
      <w:pPr>
        <w:widowControl/>
        <w:shd w:val="clear" w:color="auto" w:fill="FFFFFF"/>
        <w:spacing w:line="560" w:lineRule="exact"/>
        <w:ind w:left="150" w:right="150"/>
        <w:jc w:val="center"/>
        <w:rPr>
          <w:rFonts w:hint="eastAsia" w:ascii="微软雅黑" w:hAnsi="微软雅黑" w:eastAsia="微软雅黑"/>
          <w:color w:val="343434"/>
          <w:sz w:val="33"/>
          <w:szCs w:val="33"/>
        </w:rPr>
      </w:pPr>
      <w:r>
        <w:rPr>
          <w:rFonts w:hint="eastAsia" w:ascii="微软雅黑" w:hAnsi="微软雅黑" w:eastAsia="微软雅黑"/>
          <w:color w:val="343434"/>
          <w:sz w:val="33"/>
          <w:szCs w:val="33"/>
        </w:rPr>
        <w:t xml:space="preserve"> </w:t>
      </w:r>
    </w:p>
    <w:p w14:paraId="4788082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按照天数计算继续教育学时的，可按照每天8学时计算，不足一天的，按照每45分钟1学时的实际时间计算。</w:t>
      </w:r>
    </w:p>
    <w:p w14:paraId="67DE039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一、公需科目学时认定</w:t>
      </w:r>
    </w:p>
    <w:p w14:paraId="30095D9A">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（一）参加部门、单位组织的党建教育及活动、安全教育及活动、警示教育及活动、消防教育及活动、节假日教育及活动等，每次课程或活动可根据参加时长认定相应学时。</w:t>
      </w:r>
    </w:p>
    <w:p w14:paraId="4FAB9548">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各类教育活动中，能够提供学习心得、交流报告、文章发表等文字材料的，可增加学时认定，按每1000字1学时认定。</w:t>
      </w:r>
    </w:p>
    <w:p w14:paraId="69F1A5A7">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（二）参加援藏、援疆、援外，以及到基层、贫困地区参加支教、支农、支医和乡村振兴工作的专业技术人员，可按完成年度公需科目学时计算。</w:t>
      </w:r>
    </w:p>
    <w:p w14:paraId="0B325F39">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二、专业科目学时认定</w:t>
      </w:r>
    </w:p>
    <w:p w14:paraId="26EADDE5">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（一）课题研究</w:t>
      </w:r>
    </w:p>
    <w:p w14:paraId="3FFA7FD5">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参加国家级课题（项目）研究并在规定年度内进行或完成的，主课题（项目）组第一主持人每年按40学时认定，其他团队成员认定24学时；子课题（项目）组第一主持人认定32学时，其他团队成员认定20学时。</w:t>
      </w:r>
    </w:p>
    <w:p w14:paraId="51D4E493">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参加省部级课题（项目）研究并在规定年度内进行或完成的，课题（项目）组第一主持人每年认定30学时，其他团队成员认定15学时。</w:t>
      </w:r>
    </w:p>
    <w:p w14:paraId="309B3397">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参加市厅级课题（项目）研究并在规定年度内进行或完成的，课题（项目）组第一主持人每年认定20学时，其他团队成员认定10学时。</w:t>
      </w:r>
    </w:p>
    <w:p w14:paraId="7351776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国家级、省级、市厅级课题，同年参加2项及以上的可累计计算。</w:t>
      </w:r>
    </w:p>
    <w:p w14:paraId="64AA88F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（二）获奖成果</w:t>
      </w:r>
    </w:p>
    <w:p w14:paraId="6A26875F">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获得国家科学技术进步奖、国家自然科学奖、国家技术发明奖和国家社科奖的，二等奖及以上获奖人按完成年度全部专业科目学时认定，三等奖第一获奖人认定40学时，获奖人每排序靠后一位减少4学时。</w:t>
      </w:r>
    </w:p>
    <w:p w14:paraId="17B61AE2">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获得省部级科学技术、社会科学等奖励的，一等奖第一获奖人认定40学时，二等奖第一获奖人认定36学时，三等奖第一获奖人认定32学时。获奖人每排序靠后一位减少4学时。</w:t>
      </w:r>
    </w:p>
    <w:p w14:paraId="4D343F9B">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获得市厅级科学技术、社会科学等奖励的，一等奖第一获奖人认定34学时，二等奖第一获奖人认定30学时，三等奖第一获奖人认定26学时。获奖人每排序靠后一位减少4学时。</w:t>
      </w:r>
    </w:p>
    <w:p w14:paraId="0DA8A64F">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国家级、省级、市厅级奖项同年获得2项及以上的可累计计算。</w:t>
      </w:r>
    </w:p>
    <w:p w14:paraId="66B79DCD">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（三）专利</w:t>
      </w:r>
    </w:p>
    <w:p w14:paraId="0E3A03FB">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获得国家知识产权局授予发明专利的，按照发明人排序，第一名认定34学时，每排序靠后一位减少4学时；获得中国专利局授予的实用新型和外观设计专利的，第一名认定30学时，每排序靠后一位减少4学时。</w:t>
      </w:r>
    </w:p>
    <w:p w14:paraId="6D854E2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（四）著作与论文</w:t>
      </w:r>
    </w:p>
    <w:p w14:paraId="0E2B8A4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出版著作：公开发行出版著作（译作）的，主编认定34学时，副主编认定24学时，其他著作人认定14学时。</w:t>
      </w:r>
    </w:p>
    <w:p w14:paraId="6043708C">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发表论文：在SCI、SSCI、EI、ISTP、ISSHP、卓越期刊收录期刊公开发表论文的，第一作者和通讯作者认定36学时，其他作者认定20学时；在省级刊物公开发表论文的，第一作者和通讯作者认定26学时，其他作者认定10学时；其他刊物第一作者和通讯作者认定10学时，其他作者认定5学时。发表2篇及以上的可累计计算。</w:t>
      </w:r>
    </w:p>
    <w:p w14:paraId="05BCE932">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（五）技能竞赛</w:t>
      </w:r>
    </w:p>
    <w:p w14:paraId="4E07CF4B">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国家级、省级、市厅级技能竞赛、技术比武、行业性比赛活动或其他种类的活动，获得团体（个人）一等奖的分别按40、30、20学时认定，获得团体（个人）二等奖的分别按30、20、10学时认定，获得团体（个人）三等奖的分别按20、10、5学时认定。国家、省级、市厅级同年参加2项及以上并获得奖励的可累计计算。</w:t>
      </w:r>
    </w:p>
    <w:p w14:paraId="7B7A447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（六）专业学习与交流</w:t>
      </w:r>
    </w:p>
    <w:p w14:paraId="1E7F531F">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各级部门、继续教育基地、行业机构等主办的各类专业学习，比如，学术会议、访问学者、岗位轮训、业务进修、技术考察、对口支援、规划制定、政策咨询、改革论证、政策建议、科技研发、科研创新、产业革新等，以及出国（境）、讲学考察、研讨交流的，以单位通知、进修证书、考察报告（总结）、科研报告、选题论证、专业讲话材料等为依据，按每天8学时计算（不计往返），全年累计不超过40学时。</w:t>
      </w:r>
    </w:p>
    <w:p w14:paraId="0B6F00A0">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（七）学历学位教育</w:t>
      </w:r>
    </w:p>
    <w:p w14:paraId="65B3D2A4">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参加国家承认的学历、学位教育或课程进修，年度内进行或完成的，按实际学习月份认定学时。不足月的按足月认定，每月认定10学时，全年累计不超过40学时。</w:t>
      </w:r>
    </w:p>
    <w:p w14:paraId="4C064A8E">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（八）脱产学习</w:t>
      </w:r>
    </w:p>
    <w:p w14:paraId="1146CE81">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经组织安排的全年性脱产留学、讲学、进修、培养、学历学位教育等按完成全部公需、专业科目学时认定。</w:t>
      </w:r>
    </w:p>
    <w:p w14:paraId="20D37429">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楷体" w:hAnsi="楷体" w:eastAsia="楷体"/>
          <w:color w:val="343434"/>
          <w:kern w:val="0"/>
          <w:sz w:val="31"/>
          <w:szCs w:val="31"/>
          <w:shd w:val="clear" w:color="auto" w:fill="FFFFFF"/>
        </w:rPr>
        <w:t>（九）个人自学</w:t>
      </w:r>
    </w:p>
    <w:p w14:paraId="6F82CB51">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鼓励探索专业技术人员自学模式，以补充其他学习形式无法满足的工作需求，实现继续教育学习目标。用人单位需建立专业技术人员自学档案并研究确定具体自学学时认定标准，原则上全年累计认定不超过30学时。用人单位未建立自学档案的不予认定。</w:t>
      </w:r>
    </w:p>
    <w:p w14:paraId="3BAE6393">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w:t>
      </w:r>
      <w:r>
        <w:rPr>
          <w:rFonts w:hint="eastAsia" w:ascii="黑体" w:hAnsi="黑体" w:eastAsia="黑体"/>
          <w:color w:val="343434"/>
          <w:kern w:val="0"/>
          <w:sz w:val="31"/>
          <w:szCs w:val="31"/>
          <w:shd w:val="clear" w:color="auto" w:fill="FFFFFF"/>
        </w:rPr>
        <w:t>三、其他情形</w:t>
      </w:r>
    </w:p>
    <w:p w14:paraId="1300978E">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（一）单位组织的能力素质提升、参观见学活动，若与专业内容相关，可认定专业科目学时，每年不超过40学时。</w:t>
      </w:r>
    </w:p>
    <w:p w14:paraId="725BBE4D">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（二）因伤、病、孕等特殊原因无法完成规定学时的，经本人申请、单位审核批准，可酌情减免当年学时或安排补学。</w:t>
      </w:r>
    </w:p>
    <w:p w14:paraId="3772687D">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（三）行业主管部门有具体规定的，从其规定。</w:t>
      </w:r>
    </w:p>
    <w:p w14:paraId="75D1C297">
      <w:pPr>
        <w:widowControl/>
        <w:shd w:val="clear" w:color="auto" w:fill="FFFFFF"/>
        <w:spacing w:line="560" w:lineRule="exact"/>
        <w:ind w:left="150" w:right="150"/>
        <w:rPr>
          <w:rFonts w:hint="eastAsia" w:ascii="微软雅黑" w:hAnsi="微软雅黑" w:eastAsia="微软雅黑"/>
          <w:color w:val="343434"/>
          <w:sz w:val="33"/>
          <w:szCs w:val="33"/>
        </w:rPr>
      </w:pPr>
      <w:r>
        <w:rPr>
          <w:rFonts w:hint="eastAsia" w:ascii="仿宋" w:hAnsi="仿宋" w:eastAsia="仿宋"/>
          <w:color w:val="343434"/>
          <w:kern w:val="0"/>
          <w:sz w:val="31"/>
          <w:szCs w:val="31"/>
          <w:shd w:val="clear" w:color="auto" w:fill="FFFFFF"/>
        </w:rPr>
        <w:t xml:space="preserve">  以上未尽事宜，各行业主管部门和用人单位可参照上述标准，自行调整或补充，确保公平合理，经备案后执行。</w:t>
      </w:r>
    </w:p>
    <w:tbl>
      <w:tblPr>
        <w:tblStyle w:val="2"/>
        <w:tblW w:w="4900" w:type="pct"/>
        <w:tblInd w:w="108" w:type="dxa"/>
        <w:tblLayout w:type="autofit"/>
        <w:tblCellMar>
          <w:top w:w="0" w:type="dxa"/>
          <w:left w:w="0" w:type="dxa"/>
          <w:bottom w:w="0" w:type="dxa"/>
          <w:right w:w="0" w:type="dxa"/>
        </w:tblCellMar>
      </w:tblPr>
      <w:tblGrid>
        <w:gridCol w:w="8667"/>
      </w:tblGrid>
      <w:tr w14:paraId="6849777C">
        <w:tblPrEx>
          <w:tblCellMar>
            <w:top w:w="0" w:type="dxa"/>
            <w:left w:w="0" w:type="dxa"/>
            <w:bottom w:w="0" w:type="dxa"/>
            <w:right w:w="0" w:type="dxa"/>
          </w:tblCellMar>
        </w:tblPrEx>
        <w:tc>
          <w:tcPr>
            <w:tcW w:w="0" w:type="auto"/>
            <w:tcBorders>
              <w:top w:val="nil"/>
              <w:left w:val="nil"/>
              <w:bottom w:val="nil"/>
              <w:right w:val="nil"/>
            </w:tcBorders>
            <w:vAlign w:val="center"/>
          </w:tcPr>
          <w:p w14:paraId="6977F1B0">
            <w:pPr>
              <w:spacing w:line="560" w:lineRule="exact"/>
              <w:jc w:val="left"/>
              <w:rPr>
                <w:rFonts w:ascii="宋体"/>
                <w:color w:val="343434"/>
                <w:sz w:val="24"/>
                <w:szCs w:val="24"/>
              </w:rPr>
            </w:pPr>
            <w:r>
              <w:rPr>
                <w:rFonts w:hint="eastAsia" w:ascii="仿宋" w:hAnsi="仿宋" w:eastAsia="仿宋"/>
                <w:color w:val="343434"/>
                <w:kern w:val="0"/>
                <w:sz w:val="31"/>
                <w:szCs w:val="31"/>
                <w:shd w:val="clear" w:color="auto" w:fill="FFFFFF"/>
              </w:rPr>
              <w:t xml:space="preserve"> </w:t>
            </w:r>
          </w:p>
        </w:tc>
      </w:tr>
    </w:tbl>
    <w:p w14:paraId="663B5B8A">
      <w:pPr>
        <w:widowControl/>
        <w:pBdr>
          <w:top w:val="single" w:color="EEEEEE" w:sz="6" w:space="0"/>
          <w:left w:val="single" w:color="EEEEEE" w:sz="6" w:space="0"/>
          <w:bottom w:val="single" w:color="EEEEEE" w:sz="6" w:space="0"/>
          <w:right w:val="single" w:color="EEEEEE" w:sz="6" w:space="0"/>
        </w:pBdr>
        <w:shd w:val="clear" w:color="auto" w:fill="FFFFFF"/>
        <w:spacing w:after="270" w:line="560" w:lineRule="exact"/>
        <w:ind w:right="180"/>
        <w:jc w:val="right"/>
        <w:rPr>
          <w:rFonts w:hint="eastAsia" w:ascii="Times New Roman" w:hAnsi="Times New Roman"/>
          <w:color w:val="343434"/>
          <w:sz w:val="27"/>
          <w:szCs w:val="27"/>
        </w:rPr>
      </w:pPr>
      <w:r>
        <w:rPr>
          <w:rFonts w:ascii="Times New Roman" w:hAnsi="Times New Roman"/>
          <w:color w:val="343434"/>
          <w:kern w:val="0"/>
          <w:sz w:val="27"/>
          <w:szCs w:val="27"/>
          <w:shd w:val="clear" w:color="auto" w:fill="FFFFFF"/>
        </w:rPr>
        <w:t>(</w:t>
      </w:r>
      <w:r>
        <w:rPr>
          <w:rFonts w:ascii="宋体" w:hAnsi="宋体"/>
          <w:color w:val="343434"/>
          <w:kern w:val="0"/>
          <w:sz w:val="27"/>
          <w:szCs w:val="27"/>
          <w:shd w:val="clear" w:color="auto" w:fill="FFFFFF"/>
        </w:rPr>
        <w:t>责任编辑：吉林省人社厅</w:t>
      </w:r>
      <w:r>
        <w:rPr>
          <w:rFonts w:ascii="Times New Roman" w:hAnsi="Times New Roman"/>
          <w:color w:val="343434"/>
          <w:kern w:val="0"/>
          <w:sz w:val="27"/>
          <w:szCs w:val="27"/>
          <w:shd w:val="clear" w:color="auto" w:fill="FFFFFF"/>
        </w:rPr>
        <w:t>_</w:t>
      </w:r>
      <w:r>
        <w:rPr>
          <w:rFonts w:ascii="宋体" w:hAnsi="宋体"/>
          <w:color w:val="343434"/>
          <w:kern w:val="0"/>
          <w:sz w:val="27"/>
          <w:szCs w:val="27"/>
          <w:shd w:val="clear" w:color="auto" w:fill="FFFFFF"/>
        </w:rPr>
        <w:t>王京</w:t>
      </w:r>
      <w:r>
        <w:rPr>
          <w:rFonts w:ascii="Times New Roman" w:hAnsi="Times New Roman"/>
          <w:color w:val="343434"/>
          <w:kern w:val="0"/>
          <w:sz w:val="27"/>
          <w:szCs w:val="27"/>
          <w:shd w:val="clear" w:color="auto" w:fill="FFFFFF"/>
        </w:rPr>
        <w:t>)</w:t>
      </w:r>
    </w:p>
    <w:p w14:paraId="6095A649">
      <w:pPr>
        <w:widowControl/>
        <w:pBdr>
          <w:top w:val="dashed" w:color="999999" w:sz="6" w:space="3"/>
        </w:pBdr>
        <w:shd w:val="clear" w:color="auto" w:fill="FFFFFF"/>
        <w:spacing w:line="560" w:lineRule="exact"/>
        <w:ind w:right="180"/>
        <w:jc w:val="right"/>
        <w:rPr>
          <w:rFonts w:ascii="Times New Roman" w:hAnsi="Times New Roman"/>
          <w:color w:val="343434"/>
          <w:sz w:val="27"/>
          <w:szCs w:val="27"/>
        </w:rPr>
      </w:pPr>
      <w:r>
        <w:rPr>
          <w:rFonts w:ascii="宋体" w:hAnsi="宋体"/>
          <w:color w:val="999999"/>
          <w:kern w:val="0"/>
          <w:shd w:val="clear" w:color="auto" w:fill="FFFFFF"/>
        </w:rPr>
        <w:t>初审：王颖复审：曲立国终审：刘大鹏</w:t>
      </w:r>
    </w:p>
    <w:sectPr>
      <w:pgSz w:w="11906" w:h="16838"/>
      <w:pgMar w:top="1814" w:right="1474"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姚体">
    <w:panose1 w:val="02010601030101010101"/>
    <w:charset w:val="86"/>
    <w:family w:val="auto"/>
    <w:pitch w:val="default"/>
    <w:sig w:usb0="00000003" w:usb1="080E0000" w:usb2="00000000" w:usb3="00000000" w:csb0="00040000" w:csb1="00000000"/>
  </w:font>
  <w:font w:name="方正大标宋_GBK">
    <w:panose1 w:val="02000000000000000000"/>
    <w:charset w:val="86"/>
    <w:family w:val="auto"/>
    <w:pitch w:val="default"/>
    <w:sig w:usb0="A00002BF" w:usb1="08CF7CFA" w:usb2="00000000" w:usb3="00000000" w:csb0="00040001" w:csb1="00000000"/>
  </w:font>
  <w:font w:name="华文琥珀">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1C2F2D"/>
    <w:multiLevelType w:val="multilevel"/>
    <w:tmpl w:val="4B1C2F2D"/>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
      <w:lvlJc w:val="left"/>
      <w:pPr>
        <w:tabs>
          <w:tab w:val="left" w:pos="1440"/>
        </w:tabs>
        <w:ind w:left="1440" w:hanging="360"/>
      </w:pPr>
      <w:rPr>
        <w:rFonts w:hint="default" w:ascii="Symbol" w:hAnsi="Symbol"/>
        <w:sz w:val="20"/>
        <w:szCs w:val="20"/>
      </w:rPr>
    </w:lvl>
    <w:lvl w:ilvl="2" w:tentative="0">
      <w:start w:val="1"/>
      <w:numFmt w:val="bullet"/>
      <w:lvlText w:val=""/>
      <w:lvlJc w:val="left"/>
      <w:pPr>
        <w:tabs>
          <w:tab w:val="left" w:pos="2160"/>
        </w:tabs>
        <w:ind w:left="2160" w:hanging="360"/>
      </w:pPr>
      <w:rPr>
        <w:rFonts w:hint="default" w:ascii="Symbol" w:hAnsi="Symbol"/>
        <w:sz w:val="20"/>
        <w:szCs w:val="20"/>
      </w:rPr>
    </w:lvl>
    <w:lvl w:ilvl="3" w:tentative="0">
      <w:start w:val="1"/>
      <w:numFmt w:val="bullet"/>
      <w:lvlText w:val=""/>
      <w:lvlJc w:val="left"/>
      <w:pPr>
        <w:tabs>
          <w:tab w:val="left" w:pos="2880"/>
        </w:tabs>
        <w:ind w:left="2880" w:hanging="360"/>
      </w:pPr>
      <w:rPr>
        <w:rFonts w:hint="default" w:ascii="Symbol" w:hAnsi="Symbol"/>
        <w:sz w:val="20"/>
        <w:szCs w:val="20"/>
      </w:rPr>
    </w:lvl>
    <w:lvl w:ilvl="4" w:tentative="0">
      <w:start w:val="1"/>
      <w:numFmt w:val="bullet"/>
      <w:lvlText w:val=""/>
      <w:lvlJc w:val="left"/>
      <w:pPr>
        <w:tabs>
          <w:tab w:val="left" w:pos="3600"/>
        </w:tabs>
        <w:ind w:left="3600" w:hanging="360"/>
      </w:pPr>
      <w:rPr>
        <w:rFonts w:hint="default" w:ascii="Symbol" w:hAnsi="Symbol"/>
        <w:sz w:val="20"/>
        <w:szCs w:val="20"/>
      </w:rPr>
    </w:lvl>
    <w:lvl w:ilvl="5" w:tentative="0">
      <w:start w:val="1"/>
      <w:numFmt w:val="bullet"/>
      <w:lvlText w:val=""/>
      <w:lvlJc w:val="left"/>
      <w:pPr>
        <w:tabs>
          <w:tab w:val="left" w:pos="4320"/>
        </w:tabs>
        <w:ind w:left="4320" w:hanging="360"/>
      </w:pPr>
      <w:rPr>
        <w:rFonts w:hint="default" w:ascii="Symbol" w:hAnsi="Symbol"/>
        <w:sz w:val="20"/>
        <w:szCs w:val="20"/>
      </w:rPr>
    </w:lvl>
    <w:lvl w:ilvl="6" w:tentative="0">
      <w:start w:val="1"/>
      <w:numFmt w:val="bullet"/>
      <w:lvlText w:val=""/>
      <w:lvlJc w:val="left"/>
      <w:pPr>
        <w:tabs>
          <w:tab w:val="left" w:pos="5040"/>
        </w:tabs>
        <w:ind w:left="5040" w:hanging="360"/>
      </w:pPr>
      <w:rPr>
        <w:rFonts w:hint="default" w:ascii="Symbol" w:hAnsi="Symbol"/>
        <w:sz w:val="20"/>
        <w:szCs w:val="20"/>
      </w:rPr>
    </w:lvl>
    <w:lvl w:ilvl="7" w:tentative="0">
      <w:start w:val="1"/>
      <w:numFmt w:val="bullet"/>
      <w:lvlText w:val=""/>
      <w:lvlJc w:val="left"/>
      <w:pPr>
        <w:tabs>
          <w:tab w:val="left" w:pos="5760"/>
        </w:tabs>
        <w:ind w:left="5760" w:hanging="360"/>
      </w:pPr>
      <w:rPr>
        <w:rFonts w:hint="default" w:ascii="Symbol" w:hAnsi="Symbol"/>
        <w:sz w:val="20"/>
        <w:szCs w:val="20"/>
      </w:rPr>
    </w:lvl>
    <w:lvl w:ilvl="8" w:tentative="0">
      <w:start w:val="1"/>
      <w:numFmt w:val="bullet"/>
      <w:lvlText w:val=""/>
      <w:lvlJc w:val="left"/>
      <w:pPr>
        <w:tabs>
          <w:tab w:val="left" w:pos="6480"/>
        </w:tabs>
        <w:ind w:left="6480" w:hanging="360"/>
      </w:pPr>
      <w:rPr>
        <w:rFonts w:hint="default" w:ascii="Symbol" w:hAnsi="Symbo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66A"/>
    <w:rsid w:val="00B04ADC"/>
    <w:rsid w:val="00C8460A"/>
    <w:rsid w:val="00D6566A"/>
    <w:rsid w:val="661C41F5"/>
    <w:rsid w:val="6C441746"/>
    <w:rsid w:val="6DDC66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3801</Words>
  <Characters>3912</Characters>
  <Lines>29</Lines>
  <Paragraphs>8</Paragraphs>
  <TotalTime>9</TotalTime>
  <ScaleCrop>false</ScaleCrop>
  <LinksUpToDate>false</LinksUpToDate>
  <CharactersWithSpaces>4106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2026-04-08T08:43:00Z</dcterms:created>
  <dc:creator>Microsoft</dc:creator>
  <cp:lastModifiedBy>皮皮</cp:lastModifiedBy>
  <cp:lastPrinted>2026-04-08T08:44:00Z</cp:lastPrinted>
  <dcterms:modified xsi:type="dcterms:W3CDTF">2026-04-16T02:40:33Z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eyJoZGlkIjoiZDA3OGZmNDE2ODJjMzhkNzQzYjFkNmZkZWI4ZmQwNGMiLCJ1c2VySWQiOiI3MDc5MjgzNTMifQ==</vt:lpwstr>
  </property>
  <property fmtid="{D5CDD505-2E9C-101B-9397-08002B2CF9AE}" pid="3" name="KSOProductBuildVer">
    <vt:lpwstr>2052-12.1.0.25225</vt:lpwstr>
  </property>
  <property fmtid="{D5CDD505-2E9C-101B-9397-08002B2CF9AE}" pid="4" name="ICV">
    <vt:lpwstr>357500CC215F48C8ADA56617C8B54621_12</vt:lpwstr>
  </property>
</Properties>
</file>